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0277C166" w:rsidR="006F21B2" w:rsidRPr="004137E7" w:rsidRDefault="006F21B2" w:rsidP="00442798">
      <w:pPr>
        <w:spacing w:after="0"/>
        <w:rPr>
          <w:rFonts w:ascii="Arial" w:hAnsi="Arial" w:cs="Arial"/>
        </w:rPr>
      </w:pPr>
      <w:r>
        <w:rPr>
          <w:rFonts w:ascii="Arial" w:hAnsi="Arial" w:cs="Arial"/>
        </w:rPr>
        <w:t xml:space="preserve">Zürich, </w:t>
      </w:r>
      <w:r w:rsidR="009F0371">
        <w:rPr>
          <w:rFonts w:ascii="Arial" w:hAnsi="Arial" w:cs="Arial"/>
        </w:rPr>
        <w:t>30</w:t>
      </w:r>
      <w:r w:rsidR="00D26AE0">
        <w:rPr>
          <w:rFonts w:ascii="Arial" w:hAnsi="Arial" w:cs="Arial"/>
        </w:rPr>
        <w:t>.0</w:t>
      </w:r>
      <w:r w:rsidR="009F0371">
        <w:rPr>
          <w:rFonts w:ascii="Arial" w:hAnsi="Arial" w:cs="Arial"/>
        </w:rPr>
        <w:t>9</w:t>
      </w:r>
      <w:r w:rsidR="00442798">
        <w:rPr>
          <w:rFonts w:ascii="Arial" w:hAnsi="Arial" w:cs="Arial"/>
        </w:rPr>
        <w:t>.2022</w:t>
      </w:r>
    </w:p>
    <w:p w14:paraId="06B2FD2E" w14:textId="77777777" w:rsidR="006F21B2" w:rsidRPr="004137E7" w:rsidRDefault="006F21B2" w:rsidP="00442798">
      <w:pPr>
        <w:spacing w:after="0"/>
        <w:rPr>
          <w:rFonts w:ascii="Arial" w:hAnsi="Arial" w:cs="Arial"/>
          <w:sz w:val="28"/>
        </w:rPr>
      </w:pPr>
    </w:p>
    <w:p w14:paraId="1BA78203" w14:textId="7D641B59" w:rsidR="006F21B2" w:rsidRPr="004137E7" w:rsidRDefault="006F21B2" w:rsidP="00442798">
      <w:pPr>
        <w:spacing w:after="0"/>
        <w:rPr>
          <w:rFonts w:ascii="Arial" w:hAnsi="Arial" w:cs="Arial"/>
          <w:sz w:val="28"/>
        </w:rPr>
      </w:pPr>
    </w:p>
    <w:p w14:paraId="04337EB1" w14:textId="0366D38E" w:rsidR="006F21B2" w:rsidRPr="00504AE9" w:rsidRDefault="00A32382" w:rsidP="00442798">
      <w:pPr>
        <w:spacing w:after="0"/>
        <w:rPr>
          <w:rFonts w:ascii="Arial" w:hAnsi="Arial" w:cs="Arial"/>
          <w:b/>
          <w:sz w:val="28"/>
        </w:rPr>
      </w:pPr>
      <w:r>
        <w:rPr>
          <w:rFonts w:ascii="Arial" w:hAnsi="Arial" w:cs="Arial"/>
          <w:b/>
          <w:sz w:val="28"/>
        </w:rPr>
        <w:t>Pressebericht</w:t>
      </w:r>
    </w:p>
    <w:p w14:paraId="468FF85C" w14:textId="77777777" w:rsidR="006F21B2" w:rsidRDefault="006F21B2" w:rsidP="00442798">
      <w:pPr>
        <w:pBdr>
          <w:bottom w:val="single" w:sz="12" w:space="1" w:color="auto"/>
        </w:pBdr>
        <w:spacing w:after="0"/>
        <w:rPr>
          <w:rFonts w:ascii="Arial" w:hAnsi="Arial" w:cs="Arial"/>
          <w:sz w:val="28"/>
        </w:rPr>
      </w:pPr>
    </w:p>
    <w:p w14:paraId="1C37B3C5" w14:textId="77777777" w:rsidR="006F21B2" w:rsidRDefault="006F21B2" w:rsidP="00442798">
      <w:pPr>
        <w:spacing w:after="0"/>
        <w:rPr>
          <w:rFonts w:ascii="Arial" w:hAnsi="Arial" w:cs="Arial"/>
          <w:sz w:val="28"/>
        </w:rPr>
      </w:pPr>
    </w:p>
    <w:p w14:paraId="1FF857F2" w14:textId="250F7DF0" w:rsidR="006F21B2" w:rsidRPr="004137E7" w:rsidRDefault="006F21B2" w:rsidP="00442798">
      <w:pPr>
        <w:spacing w:after="0" w:line="240" w:lineRule="auto"/>
        <w:rPr>
          <w:rFonts w:ascii="Arial" w:hAnsi="Arial" w:cs="Arial"/>
          <w:i/>
          <w:sz w:val="20"/>
        </w:rPr>
      </w:pPr>
      <w:r w:rsidRPr="004137E7">
        <w:rPr>
          <w:rFonts w:ascii="Arial" w:hAnsi="Arial" w:cs="Arial"/>
          <w:i/>
          <w:sz w:val="20"/>
        </w:rPr>
        <w:t xml:space="preserve">Umfang: </w:t>
      </w:r>
      <w:r>
        <w:rPr>
          <w:rFonts w:ascii="Arial" w:hAnsi="Arial" w:cs="Arial"/>
          <w:i/>
          <w:sz w:val="20"/>
        </w:rPr>
        <w:t>ca.</w:t>
      </w:r>
      <w:r w:rsidR="007855EC">
        <w:rPr>
          <w:rFonts w:ascii="Arial" w:hAnsi="Arial" w:cs="Arial"/>
          <w:i/>
          <w:sz w:val="20"/>
        </w:rPr>
        <w:t xml:space="preserve"> </w:t>
      </w:r>
      <w:r w:rsidR="004535F2">
        <w:rPr>
          <w:rFonts w:ascii="Arial" w:hAnsi="Arial" w:cs="Arial"/>
          <w:i/>
          <w:sz w:val="20"/>
        </w:rPr>
        <w:t>7’34</w:t>
      </w:r>
      <w:r w:rsidR="007855EC">
        <w:rPr>
          <w:rFonts w:ascii="Arial" w:hAnsi="Arial" w:cs="Arial"/>
          <w:i/>
          <w:sz w:val="20"/>
        </w:rPr>
        <w:t xml:space="preserve">0 </w:t>
      </w:r>
      <w:r>
        <w:rPr>
          <w:rFonts w:ascii="Arial" w:hAnsi="Arial" w:cs="Arial"/>
          <w:i/>
          <w:sz w:val="20"/>
        </w:rPr>
        <w:t xml:space="preserve">Zeichen, </w:t>
      </w:r>
      <w:r w:rsidR="00C52EC8">
        <w:rPr>
          <w:rFonts w:ascii="Arial" w:hAnsi="Arial" w:cs="Arial"/>
          <w:i/>
          <w:sz w:val="20"/>
        </w:rPr>
        <w:t xml:space="preserve">Text </w:t>
      </w:r>
      <w:r>
        <w:rPr>
          <w:rFonts w:ascii="Arial" w:hAnsi="Arial" w:cs="Arial"/>
          <w:i/>
          <w:sz w:val="20"/>
        </w:rPr>
        <w:t>inkl. Lead</w:t>
      </w:r>
      <w:r w:rsidR="004F5BEB">
        <w:rPr>
          <w:rFonts w:ascii="Arial" w:hAnsi="Arial" w:cs="Arial"/>
          <w:i/>
          <w:sz w:val="20"/>
        </w:rPr>
        <w:t xml:space="preserve"> </w:t>
      </w:r>
      <w:r w:rsidR="008C0EF4">
        <w:rPr>
          <w:rFonts w:ascii="Arial" w:hAnsi="Arial" w:cs="Arial"/>
          <w:i/>
          <w:sz w:val="20"/>
        </w:rPr>
        <w:t>sowie</w:t>
      </w:r>
      <w:r>
        <w:rPr>
          <w:rFonts w:ascii="Arial" w:hAnsi="Arial" w:cs="Arial"/>
          <w:i/>
          <w:sz w:val="20"/>
        </w:rPr>
        <w:t xml:space="preserve"> Leerschläge, ohne Titel</w:t>
      </w:r>
      <w:r w:rsidR="008C0EF4">
        <w:rPr>
          <w:rFonts w:ascii="Arial" w:hAnsi="Arial" w:cs="Arial"/>
          <w:i/>
          <w:sz w:val="20"/>
        </w:rPr>
        <w:t xml:space="preserve">, </w:t>
      </w:r>
      <w:r w:rsidR="004535F2">
        <w:rPr>
          <w:rFonts w:ascii="Arial" w:hAnsi="Arial" w:cs="Arial"/>
          <w:i/>
          <w:sz w:val="20"/>
        </w:rPr>
        <w:t xml:space="preserve">Tabelle, </w:t>
      </w:r>
      <w:r w:rsidR="008C0EF4">
        <w:rPr>
          <w:rFonts w:ascii="Arial" w:hAnsi="Arial" w:cs="Arial"/>
          <w:i/>
          <w:sz w:val="20"/>
        </w:rPr>
        <w:t xml:space="preserve">Kasten Holzenergie Schweiz </w:t>
      </w:r>
      <w:r>
        <w:rPr>
          <w:rFonts w:ascii="Arial" w:hAnsi="Arial" w:cs="Arial"/>
          <w:i/>
          <w:sz w:val="20"/>
        </w:rPr>
        <w:t xml:space="preserve">und </w:t>
      </w:r>
      <w:r w:rsidR="008C0EF4">
        <w:rPr>
          <w:rFonts w:ascii="Arial" w:hAnsi="Arial" w:cs="Arial"/>
          <w:i/>
          <w:sz w:val="20"/>
        </w:rPr>
        <w:t>Bildlegenden</w:t>
      </w:r>
    </w:p>
    <w:p w14:paraId="1552AE6A" w14:textId="77777777" w:rsidR="006F21B2" w:rsidRDefault="006F21B2" w:rsidP="00442798">
      <w:pPr>
        <w:pBdr>
          <w:bottom w:val="single" w:sz="12" w:space="1" w:color="auto"/>
        </w:pBdr>
        <w:spacing w:after="0"/>
        <w:rPr>
          <w:rFonts w:ascii="Arial" w:hAnsi="Arial" w:cs="Arial"/>
          <w:sz w:val="28"/>
        </w:rPr>
      </w:pPr>
    </w:p>
    <w:p w14:paraId="1FF9E7A2" w14:textId="77777777" w:rsidR="006F21B2" w:rsidRPr="004137E7" w:rsidRDefault="006F21B2" w:rsidP="00442798">
      <w:pPr>
        <w:spacing w:after="0"/>
        <w:rPr>
          <w:rFonts w:ascii="Arial" w:hAnsi="Arial" w:cs="Arial"/>
          <w:sz w:val="28"/>
        </w:rPr>
      </w:pPr>
    </w:p>
    <w:p w14:paraId="424E21CB" w14:textId="36638E3E" w:rsidR="00C070AF" w:rsidRDefault="00A34E48" w:rsidP="00442798">
      <w:pPr>
        <w:spacing w:after="0"/>
        <w:rPr>
          <w:rFonts w:ascii="Arial" w:hAnsi="Arial" w:cs="Arial"/>
          <w:b/>
          <w:sz w:val="28"/>
        </w:rPr>
      </w:pPr>
      <w:r>
        <w:rPr>
          <w:rFonts w:ascii="Arial" w:hAnsi="Arial" w:cs="Arial"/>
          <w:b/>
          <w:sz w:val="28"/>
        </w:rPr>
        <w:t xml:space="preserve">Holzheizungen bleiben </w:t>
      </w:r>
      <w:r w:rsidR="008064D0">
        <w:rPr>
          <w:rFonts w:ascii="Arial" w:hAnsi="Arial" w:cs="Arial"/>
          <w:b/>
          <w:sz w:val="28"/>
        </w:rPr>
        <w:t xml:space="preserve">nächsten Winter </w:t>
      </w:r>
      <w:r>
        <w:rPr>
          <w:rFonts w:ascii="Arial" w:hAnsi="Arial" w:cs="Arial"/>
          <w:b/>
          <w:sz w:val="28"/>
        </w:rPr>
        <w:t>warm</w:t>
      </w:r>
    </w:p>
    <w:p w14:paraId="5459DABA" w14:textId="4E351152" w:rsidR="00A777A4" w:rsidRDefault="00A777A4" w:rsidP="00442798">
      <w:pPr>
        <w:spacing w:after="0"/>
        <w:rPr>
          <w:rFonts w:ascii="Arial" w:hAnsi="Arial" w:cs="Arial"/>
          <w:b/>
          <w:sz w:val="28"/>
        </w:rPr>
      </w:pPr>
    </w:p>
    <w:p w14:paraId="0A34E4DE" w14:textId="4CE6DA4A" w:rsidR="00C51AF7" w:rsidRDefault="00DE499E" w:rsidP="00442798">
      <w:pPr>
        <w:spacing w:after="0"/>
        <w:rPr>
          <w:rFonts w:ascii="Arial" w:hAnsi="Arial" w:cs="Arial"/>
          <w:b/>
        </w:rPr>
      </w:pPr>
      <w:r>
        <w:rPr>
          <w:rFonts w:ascii="Arial" w:hAnsi="Arial" w:cs="Arial"/>
          <w:b/>
        </w:rPr>
        <w:t>Hat es zuwenig Energieholz?</w:t>
      </w:r>
      <w:r w:rsidR="009E5324">
        <w:rPr>
          <w:rFonts w:ascii="Arial" w:hAnsi="Arial" w:cs="Arial"/>
          <w:b/>
        </w:rPr>
        <w:t xml:space="preserve"> </w:t>
      </w:r>
      <w:r>
        <w:rPr>
          <w:rFonts w:ascii="Arial" w:hAnsi="Arial" w:cs="Arial"/>
          <w:b/>
        </w:rPr>
        <w:t xml:space="preserve">Bleiben die Holzheizungen nächsten Winter kalt? Wieviel zusätzliches Holz könnte zu Heizzwecken genutzt werden? </w:t>
      </w:r>
      <w:r w:rsidR="00E26889">
        <w:rPr>
          <w:rFonts w:ascii="Arial" w:hAnsi="Arial" w:cs="Arial"/>
          <w:b/>
        </w:rPr>
        <w:t xml:space="preserve">In welchen Heizungen? </w:t>
      </w:r>
      <w:r>
        <w:rPr>
          <w:rFonts w:ascii="Arial" w:hAnsi="Arial" w:cs="Arial"/>
          <w:b/>
        </w:rPr>
        <w:t xml:space="preserve">Brennende Fragen und kontroverse Berichterstattungen stiften </w:t>
      </w:r>
      <w:r w:rsidR="00E26889">
        <w:rPr>
          <w:rFonts w:ascii="Arial" w:hAnsi="Arial" w:cs="Arial"/>
          <w:b/>
        </w:rPr>
        <w:t>Verunsicherung</w:t>
      </w:r>
      <w:r>
        <w:rPr>
          <w:rFonts w:ascii="Arial" w:hAnsi="Arial" w:cs="Arial"/>
          <w:b/>
        </w:rPr>
        <w:t xml:space="preserve">. Ein neues Strategiepapier von Holzenergie Schweiz liefert klare Antworten. Fazit: </w:t>
      </w:r>
      <w:r w:rsidR="00A34E48">
        <w:rPr>
          <w:rFonts w:ascii="Arial" w:hAnsi="Arial" w:cs="Arial"/>
          <w:b/>
        </w:rPr>
        <w:t xml:space="preserve">Holzheizungen bleiben warm. </w:t>
      </w:r>
      <w:r>
        <w:rPr>
          <w:rFonts w:ascii="Arial" w:hAnsi="Arial" w:cs="Arial"/>
          <w:b/>
        </w:rPr>
        <w:t xml:space="preserve">Holz ist </w:t>
      </w:r>
      <w:r w:rsidR="00E26889">
        <w:rPr>
          <w:rFonts w:ascii="Arial" w:hAnsi="Arial" w:cs="Arial"/>
          <w:b/>
        </w:rPr>
        <w:t xml:space="preserve">– richtig eingesetzt – </w:t>
      </w:r>
      <w:r>
        <w:rPr>
          <w:rFonts w:ascii="Arial" w:hAnsi="Arial" w:cs="Arial"/>
          <w:b/>
        </w:rPr>
        <w:t xml:space="preserve">eine zuverlässige Energiequelle und kann einen </w:t>
      </w:r>
      <w:r w:rsidR="00BC0D67">
        <w:rPr>
          <w:rFonts w:ascii="Arial" w:hAnsi="Arial" w:cs="Arial"/>
          <w:b/>
        </w:rPr>
        <w:t xml:space="preserve">zusätzlichen </w:t>
      </w:r>
      <w:r>
        <w:rPr>
          <w:rFonts w:ascii="Arial" w:hAnsi="Arial" w:cs="Arial"/>
          <w:b/>
        </w:rPr>
        <w:t>Beitrag an die Energiewende leisten</w:t>
      </w:r>
      <w:r w:rsidR="007F6488">
        <w:rPr>
          <w:rFonts w:ascii="Arial" w:hAnsi="Arial" w:cs="Arial"/>
          <w:b/>
        </w:rPr>
        <w:t xml:space="preserve">. </w:t>
      </w:r>
    </w:p>
    <w:p w14:paraId="2118AFA8" w14:textId="4B178F9B" w:rsidR="00517F83" w:rsidRDefault="00517F83">
      <w:pPr>
        <w:spacing w:after="160" w:line="259" w:lineRule="auto"/>
        <w:rPr>
          <w:rFonts w:ascii="Arial" w:hAnsi="Arial" w:cs="Arial"/>
          <w:bCs/>
        </w:rPr>
      </w:pPr>
    </w:p>
    <w:p w14:paraId="5F80E9B7" w14:textId="1D5615CE" w:rsidR="009E5324" w:rsidRDefault="00517F83">
      <w:pPr>
        <w:spacing w:after="160" w:line="259" w:lineRule="auto"/>
        <w:rPr>
          <w:rFonts w:ascii="Arial" w:hAnsi="Arial" w:cs="Arial"/>
          <w:bCs/>
        </w:rPr>
      </w:pPr>
      <w:r>
        <w:rPr>
          <w:rFonts w:ascii="Arial" w:hAnsi="Arial" w:cs="Arial"/>
          <w:bCs/>
        </w:rPr>
        <w:t>Hamsterkäufe, Lieferprobleme, leere Lager</w:t>
      </w:r>
      <w:r w:rsidR="00B777DC">
        <w:rPr>
          <w:rFonts w:ascii="Arial" w:hAnsi="Arial" w:cs="Arial"/>
          <w:bCs/>
        </w:rPr>
        <w:t>:</w:t>
      </w:r>
      <w:r>
        <w:rPr>
          <w:rFonts w:ascii="Arial" w:hAnsi="Arial" w:cs="Arial"/>
          <w:bCs/>
        </w:rPr>
        <w:t xml:space="preserve"> Der Energieholzmarkt ist in den letzten Monaten </w:t>
      </w:r>
      <w:r w:rsidR="00BC0D67">
        <w:rPr>
          <w:rFonts w:ascii="Arial" w:hAnsi="Arial" w:cs="Arial"/>
          <w:bCs/>
        </w:rPr>
        <w:t xml:space="preserve">teilweise </w:t>
      </w:r>
      <w:r>
        <w:rPr>
          <w:rFonts w:ascii="Arial" w:hAnsi="Arial" w:cs="Arial"/>
          <w:bCs/>
        </w:rPr>
        <w:t xml:space="preserve">aus den Fugen geraten. </w:t>
      </w:r>
      <w:r w:rsidR="00B777DC">
        <w:rPr>
          <w:rFonts w:ascii="Arial" w:hAnsi="Arial" w:cs="Arial"/>
          <w:bCs/>
        </w:rPr>
        <w:t>N</w:t>
      </w:r>
      <w:r>
        <w:rPr>
          <w:rFonts w:ascii="Arial" w:hAnsi="Arial" w:cs="Arial"/>
          <w:bCs/>
        </w:rPr>
        <w:t xml:space="preserve">ach langen Jahren des Überangebots und der tiefen Preise </w:t>
      </w:r>
      <w:r w:rsidR="00B777DC">
        <w:rPr>
          <w:rFonts w:ascii="Arial" w:hAnsi="Arial" w:cs="Arial"/>
          <w:bCs/>
        </w:rPr>
        <w:t xml:space="preserve">hat sich in </w:t>
      </w:r>
      <w:r w:rsidR="00E26889">
        <w:rPr>
          <w:rFonts w:ascii="Arial" w:hAnsi="Arial" w:cs="Arial"/>
          <w:bCs/>
        </w:rPr>
        <w:t>jüngster</w:t>
      </w:r>
      <w:r w:rsidR="00B777DC">
        <w:rPr>
          <w:rFonts w:ascii="Arial" w:hAnsi="Arial" w:cs="Arial"/>
          <w:bCs/>
        </w:rPr>
        <w:t xml:space="preserve"> Zeit eine Nachfrage entwickelt, die da</w:t>
      </w:r>
      <w:r w:rsidR="00313B10">
        <w:rPr>
          <w:rFonts w:ascii="Arial" w:hAnsi="Arial" w:cs="Arial"/>
          <w:bCs/>
        </w:rPr>
        <w:t>s</w:t>
      </w:r>
      <w:r w:rsidR="00B777DC">
        <w:rPr>
          <w:rFonts w:ascii="Arial" w:hAnsi="Arial" w:cs="Arial"/>
          <w:bCs/>
        </w:rPr>
        <w:t xml:space="preserve"> Angebot in einigen Regionen </w:t>
      </w:r>
      <w:r w:rsidR="00120A7D">
        <w:rPr>
          <w:rFonts w:ascii="Arial" w:hAnsi="Arial" w:cs="Arial"/>
          <w:bCs/>
        </w:rPr>
        <w:t xml:space="preserve">bereits </w:t>
      </w:r>
      <w:r w:rsidR="00B777DC">
        <w:rPr>
          <w:rFonts w:ascii="Arial" w:hAnsi="Arial" w:cs="Arial"/>
          <w:bCs/>
        </w:rPr>
        <w:t xml:space="preserve">übersteigt. </w:t>
      </w:r>
      <w:r w:rsidR="00B97BF9">
        <w:rPr>
          <w:rFonts w:ascii="Arial" w:hAnsi="Arial" w:cs="Arial"/>
          <w:bCs/>
        </w:rPr>
        <w:t>Wie soll es weitergehen? Hat es zu</w:t>
      </w:r>
      <w:r w:rsidR="00751D56">
        <w:rPr>
          <w:rFonts w:ascii="Arial" w:hAnsi="Arial" w:cs="Arial"/>
          <w:bCs/>
        </w:rPr>
        <w:t xml:space="preserve"> </w:t>
      </w:r>
      <w:r w:rsidR="00B97BF9">
        <w:rPr>
          <w:rFonts w:ascii="Arial" w:hAnsi="Arial" w:cs="Arial"/>
          <w:bCs/>
        </w:rPr>
        <w:t xml:space="preserve">wenig Holz? Herrscht bald das Chaos? «Nein,» betont Andreas Keel, Geschäftsführer von Holzenergie Schweiz, «es gibt zwar gewisse Engpässe bei den Pellets und beim trockenen Stückholz, </w:t>
      </w:r>
      <w:r w:rsidR="00A34E48">
        <w:rPr>
          <w:rFonts w:ascii="Arial" w:hAnsi="Arial" w:cs="Arial"/>
          <w:bCs/>
        </w:rPr>
        <w:t>b</w:t>
      </w:r>
      <w:r w:rsidR="003B0F95">
        <w:rPr>
          <w:rFonts w:ascii="Arial" w:hAnsi="Arial" w:cs="Arial"/>
          <w:bCs/>
        </w:rPr>
        <w:t xml:space="preserve">ei den Holzschnitzeln läuft es </w:t>
      </w:r>
      <w:r w:rsidR="00E26889">
        <w:rPr>
          <w:rFonts w:ascii="Arial" w:hAnsi="Arial" w:cs="Arial"/>
          <w:bCs/>
        </w:rPr>
        <w:t xml:space="preserve">aber </w:t>
      </w:r>
      <w:r w:rsidR="003B0F95">
        <w:rPr>
          <w:rFonts w:ascii="Arial" w:hAnsi="Arial" w:cs="Arial"/>
          <w:bCs/>
        </w:rPr>
        <w:t>in geordneten Bahnen.</w:t>
      </w:r>
      <w:r w:rsidR="00A34E48">
        <w:rPr>
          <w:rFonts w:ascii="Arial" w:hAnsi="Arial" w:cs="Arial"/>
          <w:bCs/>
        </w:rPr>
        <w:t xml:space="preserve"> Die bestehenden Holzheizungen werden im nächsten Winter zuverlässig behagliche Wärme in die Häuser bringen.</w:t>
      </w:r>
      <w:r w:rsidR="003B0F95">
        <w:rPr>
          <w:rFonts w:ascii="Arial" w:hAnsi="Arial" w:cs="Arial"/>
          <w:bCs/>
        </w:rPr>
        <w:t>» D</w:t>
      </w:r>
      <w:r w:rsidR="00A34E48">
        <w:rPr>
          <w:rFonts w:ascii="Arial" w:hAnsi="Arial" w:cs="Arial"/>
          <w:bCs/>
        </w:rPr>
        <w:t>ie steigende Nachfrage</w:t>
      </w:r>
      <w:r w:rsidR="003B0F95">
        <w:rPr>
          <w:rFonts w:ascii="Arial" w:hAnsi="Arial" w:cs="Arial"/>
          <w:bCs/>
        </w:rPr>
        <w:t xml:space="preserve"> spiegelt sich </w:t>
      </w:r>
      <w:r w:rsidR="00A34E48">
        <w:rPr>
          <w:rFonts w:ascii="Arial" w:hAnsi="Arial" w:cs="Arial"/>
          <w:bCs/>
        </w:rPr>
        <w:t>teilweise</w:t>
      </w:r>
      <w:r w:rsidR="003B0F95">
        <w:rPr>
          <w:rFonts w:ascii="Arial" w:hAnsi="Arial" w:cs="Arial"/>
          <w:bCs/>
        </w:rPr>
        <w:t xml:space="preserve"> in den Preisen: </w:t>
      </w:r>
      <w:r w:rsidR="00A34E48">
        <w:rPr>
          <w:rFonts w:ascii="Arial" w:hAnsi="Arial" w:cs="Arial"/>
          <w:bCs/>
        </w:rPr>
        <w:t xml:space="preserve">Pellets </w:t>
      </w:r>
      <w:r w:rsidR="00B60567">
        <w:rPr>
          <w:rFonts w:ascii="Arial" w:hAnsi="Arial" w:cs="Arial"/>
          <w:bCs/>
        </w:rPr>
        <w:t xml:space="preserve">sind </w:t>
      </w:r>
      <w:r w:rsidR="00A34E48">
        <w:rPr>
          <w:rFonts w:ascii="Arial" w:hAnsi="Arial" w:cs="Arial"/>
          <w:bCs/>
        </w:rPr>
        <w:t xml:space="preserve">im Vergleich zum Vorjahr etwa </w:t>
      </w:r>
      <w:r w:rsidR="00A34E48" w:rsidRPr="00182053">
        <w:rPr>
          <w:rFonts w:ascii="Arial" w:hAnsi="Arial" w:cs="Arial"/>
          <w:bCs/>
        </w:rPr>
        <w:t>60 Prozent</w:t>
      </w:r>
      <w:r w:rsidR="00A34E48">
        <w:rPr>
          <w:rFonts w:ascii="Arial" w:hAnsi="Arial" w:cs="Arial"/>
          <w:bCs/>
        </w:rPr>
        <w:t xml:space="preserve"> teurer. </w:t>
      </w:r>
      <w:r w:rsidR="00D9534C">
        <w:rPr>
          <w:rFonts w:ascii="Arial" w:hAnsi="Arial" w:cs="Arial"/>
          <w:bCs/>
        </w:rPr>
        <w:t xml:space="preserve">Und auch die </w:t>
      </w:r>
      <w:r w:rsidR="00EF580A">
        <w:rPr>
          <w:rFonts w:ascii="Arial" w:hAnsi="Arial" w:cs="Arial"/>
          <w:bCs/>
        </w:rPr>
        <w:t xml:space="preserve">Preise </w:t>
      </w:r>
      <w:r w:rsidR="00D9534C">
        <w:rPr>
          <w:rFonts w:ascii="Arial" w:hAnsi="Arial" w:cs="Arial"/>
          <w:bCs/>
        </w:rPr>
        <w:t xml:space="preserve">für </w:t>
      </w:r>
      <w:r w:rsidR="003B0F95">
        <w:rPr>
          <w:rFonts w:ascii="Arial" w:hAnsi="Arial" w:cs="Arial"/>
          <w:bCs/>
        </w:rPr>
        <w:t xml:space="preserve">Holzhackschnitzel </w:t>
      </w:r>
      <w:r w:rsidR="00D9534C">
        <w:rPr>
          <w:rFonts w:ascii="Arial" w:hAnsi="Arial" w:cs="Arial"/>
          <w:bCs/>
        </w:rPr>
        <w:t>und</w:t>
      </w:r>
      <w:r w:rsidR="003B0F95">
        <w:rPr>
          <w:rFonts w:ascii="Arial" w:hAnsi="Arial" w:cs="Arial"/>
          <w:bCs/>
        </w:rPr>
        <w:t xml:space="preserve"> Stückholz </w:t>
      </w:r>
      <w:r w:rsidR="00D9534C">
        <w:rPr>
          <w:rFonts w:ascii="Arial" w:hAnsi="Arial" w:cs="Arial"/>
          <w:bCs/>
        </w:rPr>
        <w:t>haben angezogen</w:t>
      </w:r>
      <w:r w:rsidR="003B0F95">
        <w:rPr>
          <w:rFonts w:ascii="Arial" w:hAnsi="Arial" w:cs="Arial"/>
          <w:bCs/>
        </w:rPr>
        <w:t xml:space="preserve">. </w:t>
      </w:r>
      <w:r w:rsidR="003C0505">
        <w:rPr>
          <w:rFonts w:ascii="Arial" w:hAnsi="Arial" w:cs="Arial"/>
          <w:bCs/>
        </w:rPr>
        <w:t>«In den Köpfen herrsch</w:t>
      </w:r>
      <w:r w:rsidR="00E26889">
        <w:rPr>
          <w:rFonts w:ascii="Arial" w:hAnsi="Arial" w:cs="Arial"/>
          <w:bCs/>
        </w:rPr>
        <w:t>t</w:t>
      </w:r>
      <w:r w:rsidR="003C0505">
        <w:rPr>
          <w:rFonts w:ascii="Arial" w:hAnsi="Arial" w:cs="Arial"/>
          <w:bCs/>
        </w:rPr>
        <w:t xml:space="preserve"> mehr </w:t>
      </w:r>
      <w:r w:rsidR="00E26889">
        <w:rPr>
          <w:rFonts w:ascii="Arial" w:hAnsi="Arial" w:cs="Arial"/>
          <w:bCs/>
        </w:rPr>
        <w:t>Verunsicherung</w:t>
      </w:r>
      <w:r w:rsidR="003C0505">
        <w:rPr>
          <w:rFonts w:ascii="Arial" w:hAnsi="Arial" w:cs="Arial"/>
          <w:bCs/>
        </w:rPr>
        <w:t xml:space="preserve"> als </w:t>
      </w:r>
      <w:r w:rsidR="0035580F">
        <w:rPr>
          <w:rFonts w:ascii="Arial" w:hAnsi="Arial" w:cs="Arial"/>
          <w:bCs/>
        </w:rPr>
        <w:t>nötig</w:t>
      </w:r>
      <w:r w:rsidR="00B60567">
        <w:rPr>
          <w:rFonts w:ascii="Arial" w:hAnsi="Arial" w:cs="Arial"/>
          <w:bCs/>
        </w:rPr>
        <w:t>, der Markt ist vergleichsweise stabil.</w:t>
      </w:r>
      <w:r w:rsidR="00D9534C">
        <w:rPr>
          <w:rFonts w:ascii="Arial" w:hAnsi="Arial" w:cs="Arial"/>
          <w:bCs/>
        </w:rPr>
        <w:t xml:space="preserve"> Und letztlich sorgt </w:t>
      </w:r>
      <w:r w:rsidR="001F1BC4">
        <w:rPr>
          <w:rFonts w:ascii="Arial" w:hAnsi="Arial" w:cs="Arial"/>
          <w:bCs/>
        </w:rPr>
        <w:t xml:space="preserve">gerade </w:t>
      </w:r>
      <w:r w:rsidR="00D9534C">
        <w:rPr>
          <w:rFonts w:ascii="Arial" w:hAnsi="Arial" w:cs="Arial"/>
          <w:bCs/>
        </w:rPr>
        <w:t>der Preisanstieg für mehr Versorgungssicherheit</w:t>
      </w:r>
      <w:r w:rsidR="001F1BC4">
        <w:rPr>
          <w:rFonts w:ascii="Arial" w:hAnsi="Arial" w:cs="Arial"/>
          <w:bCs/>
        </w:rPr>
        <w:t>, weil er die Mobilisierung von zusätzlichem Energieholz a</w:t>
      </w:r>
      <w:r w:rsidR="00182053">
        <w:rPr>
          <w:rFonts w:ascii="Arial" w:hAnsi="Arial" w:cs="Arial"/>
          <w:bCs/>
        </w:rPr>
        <w:t>t</w:t>
      </w:r>
      <w:r w:rsidR="001F1BC4">
        <w:rPr>
          <w:rFonts w:ascii="Arial" w:hAnsi="Arial" w:cs="Arial"/>
          <w:bCs/>
        </w:rPr>
        <w:t>traktiver macht</w:t>
      </w:r>
      <w:r w:rsidR="003C0505">
        <w:rPr>
          <w:rFonts w:ascii="Arial" w:hAnsi="Arial" w:cs="Arial"/>
          <w:bCs/>
        </w:rPr>
        <w:t xml:space="preserve">», bringt Andreas Keel die Situation auf den Punkt. </w:t>
      </w:r>
      <w:r w:rsidR="0035580F">
        <w:rPr>
          <w:rFonts w:ascii="Arial" w:hAnsi="Arial" w:cs="Arial"/>
          <w:bCs/>
        </w:rPr>
        <w:t xml:space="preserve">Holzenergie Schweiz untermauert </w:t>
      </w:r>
      <w:r w:rsidR="00E26889">
        <w:rPr>
          <w:rFonts w:ascii="Arial" w:hAnsi="Arial" w:cs="Arial"/>
          <w:bCs/>
        </w:rPr>
        <w:t>seine</w:t>
      </w:r>
      <w:r w:rsidR="0035580F">
        <w:rPr>
          <w:rFonts w:ascii="Arial" w:hAnsi="Arial" w:cs="Arial"/>
          <w:bCs/>
        </w:rPr>
        <w:t xml:space="preserve"> Aussage mit </w:t>
      </w:r>
      <w:r w:rsidR="00E26889">
        <w:rPr>
          <w:rFonts w:ascii="Arial" w:hAnsi="Arial" w:cs="Arial"/>
          <w:bCs/>
        </w:rPr>
        <w:t>belastbaren</w:t>
      </w:r>
      <w:r w:rsidR="0035580F">
        <w:rPr>
          <w:rFonts w:ascii="Arial" w:hAnsi="Arial" w:cs="Arial"/>
          <w:bCs/>
        </w:rPr>
        <w:t xml:space="preserve"> Fakten.</w:t>
      </w:r>
      <w:r w:rsidR="000D6D86">
        <w:rPr>
          <w:rFonts w:ascii="Arial" w:hAnsi="Arial" w:cs="Arial"/>
          <w:bCs/>
        </w:rPr>
        <w:t xml:space="preserve"> </w:t>
      </w:r>
    </w:p>
    <w:p w14:paraId="07ACA294" w14:textId="1F74D98D" w:rsidR="00182053" w:rsidRPr="000D6D86" w:rsidRDefault="00182053">
      <w:pPr>
        <w:spacing w:after="160" w:line="259" w:lineRule="auto"/>
        <w:rPr>
          <w:rFonts w:ascii="Arial" w:hAnsi="Arial" w:cs="Arial"/>
          <w:b/>
        </w:rPr>
      </w:pPr>
      <w:r>
        <w:rPr>
          <w:rFonts w:ascii="Arial" w:hAnsi="Arial" w:cs="Arial"/>
          <w:b/>
        </w:rPr>
        <w:t>Energieholzmarkt ist vergleichsweise stabil</w:t>
      </w:r>
    </w:p>
    <w:p w14:paraId="37C2A4C5" w14:textId="5B33D19B" w:rsidR="003B0F95" w:rsidRDefault="000D6D86">
      <w:pPr>
        <w:spacing w:after="160" w:line="259" w:lineRule="auto"/>
        <w:rPr>
          <w:rFonts w:ascii="Arial" w:hAnsi="Arial" w:cs="Arial"/>
          <w:bCs/>
        </w:rPr>
      </w:pPr>
      <w:r>
        <w:rPr>
          <w:rFonts w:ascii="Arial" w:hAnsi="Arial" w:cs="Arial"/>
          <w:bCs/>
        </w:rPr>
        <w:t xml:space="preserve">Holzenergie Schweiz </w:t>
      </w:r>
      <w:r w:rsidR="0007368B">
        <w:rPr>
          <w:rFonts w:ascii="Arial" w:hAnsi="Arial" w:cs="Arial"/>
          <w:bCs/>
        </w:rPr>
        <w:t xml:space="preserve">verfasste </w:t>
      </w:r>
      <w:r>
        <w:rPr>
          <w:rFonts w:ascii="Arial" w:hAnsi="Arial" w:cs="Arial"/>
          <w:bCs/>
        </w:rPr>
        <w:t xml:space="preserve">in den letzten Monaten ein Strategiepapier. Es </w:t>
      </w:r>
      <w:r w:rsidR="00993AC8">
        <w:rPr>
          <w:rFonts w:ascii="Arial" w:hAnsi="Arial" w:cs="Arial"/>
          <w:bCs/>
        </w:rPr>
        <w:t>be</w:t>
      </w:r>
      <w:r w:rsidR="0007368B">
        <w:rPr>
          <w:rFonts w:ascii="Arial" w:hAnsi="Arial" w:cs="Arial"/>
          <w:bCs/>
        </w:rPr>
        <w:t>ziffert</w:t>
      </w:r>
      <w:r>
        <w:rPr>
          <w:rFonts w:ascii="Arial" w:hAnsi="Arial" w:cs="Arial"/>
          <w:bCs/>
        </w:rPr>
        <w:t xml:space="preserve"> das heute </w:t>
      </w:r>
      <w:r w:rsidR="00993AC8">
        <w:rPr>
          <w:rFonts w:ascii="Arial" w:hAnsi="Arial" w:cs="Arial"/>
          <w:bCs/>
        </w:rPr>
        <w:t xml:space="preserve">noch </w:t>
      </w:r>
      <w:r>
        <w:rPr>
          <w:rFonts w:ascii="Arial" w:hAnsi="Arial" w:cs="Arial"/>
          <w:bCs/>
        </w:rPr>
        <w:t xml:space="preserve">ungenutzte Energieholzpotential </w:t>
      </w:r>
      <w:r w:rsidR="00993AC8">
        <w:rPr>
          <w:rFonts w:ascii="Arial" w:hAnsi="Arial" w:cs="Arial"/>
          <w:bCs/>
        </w:rPr>
        <w:t>und definiert die sinnvollen Einsatzbereiche der einzelnen Energieholzsortimente.</w:t>
      </w:r>
    </w:p>
    <w:p w14:paraId="4D54814C" w14:textId="2587B090" w:rsidR="001903EF" w:rsidRDefault="00FC704A">
      <w:pPr>
        <w:spacing w:after="160" w:line="259" w:lineRule="auto"/>
        <w:rPr>
          <w:rFonts w:ascii="Arial" w:hAnsi="Arial" w:cs="Arial"/>
          <w:bCs/>
        </w:rPr>
      </w:pPr>
      <w:r>
        <w:rPr>
          <w:rFonts w:ascii="Arial" w:hAnsi="Arial" w:cs="Arial"/>
          <w:bCs/>
        </w:rPr>
        <w:lastRenderedPageBreak/>
        <w:t xml:space="preserve">Zunächst </w:t>
      </w:r>
      <w:r w:rsidR="00993AC8">
        <w:rPr>
          <w:rFonts w:ascii="Arial" w:hAnsi="Arial" w:cs="Arial"/>
          <w:bCs/>
        </w:rPr>
        <w:t>gilt es</w:t>
      </w:r>
      <w:r>
        <w:rPr>
          <w:rFonts w:ascii="Arial" w:hAnsi="Arial" w:cs="Arial"/>
          <w:bCs/>
        </w:rPr>
        <w:t xml:space="preserve"> festzuhalten, dass es nicht einfach «Energieholz» gibt. Die Verwendungsmöglichkeiten von Stückholz, Hackschnitzeln und Pellets sind sehr unterschiedlich. Zusätzlich ist auch die Holzherkunft zu differenzieren. Naturbelassenes Holz aus dem Wald hat ein ganz anderes Nutzungsspektrum als mit Schadstoffen belastetes Altholz aus Gebäudeabbrüchen. </w:t>
      </w:r>
    </w:p>
    <w:p w14:paraId="681A2238" w14:textId="75A3BFB0" w:rsidR="001903EF" w:rsidRPr="00FC704A" w:rsidRDefault="001903EF">
      <w:pPr>
        <w:spacing w:after="160" w:line="259" w:lineRule="auto"/>
        <w:rPr>
          <w:rFonts w:ascii="Arial" w:hAnsi="Arial" w:cs="Arial"/>
          <w:b/>
        </w:rPr>
      </w:pPr>
      <w:r w:rsidRPr="00FC704A">
        <w:rPr>
          <w:rFonts w:ascii="Arial" w:hAnsi="Arial" w:cs="Arial"/>
          <w:b/>
        </w:rPr>
        <w:t xml:space="preserve">Energieholz ist nicht gleich Energieholz </w:t>
      </w:r>
    </w:p>
    <w:p w14:paraId="02B465AD" w14:textId="40413A82" w:rsidR="001903EF" w:rsidRDefault="004B2C88">
      <w:pPr>
        <w:spacing w:after="160" w:line="259" w:lineRule="auto"/>
        <w:rPr>
          <w:rFonts w:ascii="Arial" w:hAnsi="Arial" w:cs="Arial"/>
          <w:bCs/>
        </w:rPr>
      </w:pPr>
      <w:r>
        <w:rPr>
          <w:rFonts w:ascii="Arial" w:hAnsi="Arial" w:cs="Arial"/>
          <w:bCs/>
        </w:rPr>
        <w:t xml:space="preserve">Drei grundverschiedene Energieholzformen, zwanzig verschiedene Holzheizungskategorien, </w:t>
      </w:r>
      <w:r w:rsidR="00C061CC">
        <w:rPr>
          <w:rFonts w:ascii="Arial" w:hAnsi="Arial" w:cs="Arial"/>
          <w:bCs/>
        </w:rPr>
        <w:t xml:space="preserve">naturbelassenes oder schadstoffbelastetes Holz schaffen eine Vielzahl von Anwendungsformen. Nicht alle Kombinationen sind sinnvoll, einzelne sind umstritten. Das Strategiepapier liefert Antworten und Empfehlungen, wie mit dem heute noch ungenutzten Potential sinnvoll umgegangen werden soll. </w:t>
      </w:r>
      <w:r w:rsidR="00B60567">
        <w:rPr>
          <w:rFonts w:ascii="Arial" w:hAnsi="Arial" w:cs="Arial"/>
          <w:bCs/>
        </w:rPr>
        <w:t>Klar ist, dass die Holzenergie allein nur einen Teil der Energiewende bewältigen kann. Deshalb ist es wichtig, das verfügbare Potential dort einzusetzen, wo es am meisten Sinn macht.</w:t>
      </w:r>
    </w:p>
    <w:p w14:paraId="03AEBE30" w14:textId="703BADE7" w:rsidR="00BC0D67" w:rsidRPr="00A23891" w:rsidRDefault="005858CA">
      <w:pPr>
        <w:spacing w:after="160" w:line="259" w:lineRule="auto"/>
        <w:rPr>
          <w:rFonts w:ascii="Arial" w:hAnsi="Arial" w:cs="Arial"/>
          <w:b/>
        </w:rPr>
      </w:pPr>
      <w:r w:rsidRPr="00A23891">
        <w:rPr>
          <w:rFonts w:ascii="Arial" w:hAnsi="Arial" w:cs="Arial"/>
          <w:b/>
        </w:rPr>
        <w:t>Stückholz, eine sinnvolle dezentrale Energiequelle</w:t>
      </w:r>
    </w:p>
    <w:p w14:paraId="3C8B62D1" w14:textId="49514FCE" w:rsidR="005858CA" w:rsidRDefault="005858CA">
      <w:pPr>
        <w:spacing w:after="160" w:line="259" w:lineRule="auto"/>
        <w:rPr>
          <w:rFonts w:ascii="Arial" w:hAnsi="Arial" w:cs="Arial"/>
          <w:bCs/>
        </w:rPr>
      </w:pPr>
      <w:r>
        <w:rPr>
          <w:rFonts w:ascii="Arial" w:hAnsi="Arial" w:cs="Arial"/>
          <w:bCs/>
        </w:rPr>
        <w:t xml:space="preserve">In der Schweiz sind heute gemäss offizieller Holzenergiestatistik rund 500'000 Stückholzheizungen installiert. Das dafür geeignete </w:t>
      </w:r>
      <w:r w:rsidR="00993AC8">
        <w:rPr>
          <w:rFonts w:ascii="Arial" w:hAnsi="Arial" w:cs="Arial"/>
          <w:bCs/>
        </w:rPr>
        <w:t>Stückholz</w:t>
      </w:r>
      <w:r>
        <w:rPr>
          <w:rFonts w:ascii="Arial" w:hAnsi="Arial" w:cs="Arial"/>
          <w:bCs/>
        </w:rPr>
        <w:t xml:space="preserve"> ist immer naturbelassen und muss im Voraus ein bis drei Jahre getrocknet werden. Die zur Verfügung </w:t>
      </w:r>
      <w:r w:rsidR="00FD196D">
        <w:rPr>
          <w:rFonts w:ascii="Arial" w:hAnsi="Arial" w:cs="Arial"/>
          <w:bCs/>
        </w:rPr>
        <w:t>stehende</w:t>
      </w:r>
      <w:r>
        <w:rPr>
          <w:rFonts w:ascii="Arial" w:hAnsi="Arial" w:cs="Arial"/>
          <w:bCs/>
        </w:rPr>
        <w:t xml:space="preserve"> Menge für den </w:t>
      </w:r>
      <w:r w:rsidR="00A23891">
        <w:rPr>
          <w:rFonts w:ascii="Arial" w:hAnsi="Arial" w:cs="Arial"/>
          <w:bCs/>
        </w:rPr>
        <w:t>nächsten</w:t>
      </w:r>
      <w:r>
        <w:rPr>
          <w:rFonts w:ascii="Arial" w:hAnsi="Arial" w:cs="Arial"/>
          <w:bCs/>
        </w:rPr>
        <w:t xml:space="preserve"> Winter </w:t>
      </w:r>
      <w:r w:rsidR="00A23891">
        <w:rPr>
          <w:rFonts w:ascii="Arial" w:hAnsi="Arial" w:cs="Arial"/>
          <w:bCs/>
        </w:rPr>
        <w:t>lässt sich</w:t>
      </w:r>
      <w:r>
        <w:rPr>
          <w:rFonts w:ascii="Arial" w:hAnsi="Arial" w:cs="Arial"/>
          <w:bCs/>
        </w:rPr>
        <w:t xml:space="preserve"> kaum noch erhöhen, da die </w:t>
      </w:r>
      <w:r w:rsidR="00585F8E">
        <w:rPr>
          <w:rFonts w:ascii="Arial" w:hAnsi="Arial" w:cs="Arial"/>
          <w:bCs/>
        </w:rPr>
        <w:t xml:space="preserve">verbleibende </w:t>
      </w:r>
      <w:r>
        <w:rPr>
          <w:rFonts w:ascii="Arial" w:hAnsi="Arial" w:cs="Arial"/>
          <w:bCs/>
        </w:rPr>
        <w:t xml:space="preserve">Zeit </w:t>
      </w:r>
      <w:r w:rsidR="00585F8E">
        <w:rPr>
          <w:rFonts w:ascii="Arial" w:hAnsi="Arial" w:cs="Arial"/>
          <w:bCs/>
        </w:rPr>
        <w:t xml:space="preserve">bis zum Beginn der Heizperiode </w:t>
      </w:r>
      <w:r>
        <w:rPr>
          <w:rFonts w:ascii="Arial" w:hAnsi="Arial" w:cs="Arial"/>
          <w:bCs/>
        </w:rPr>
        <w:t>für die Trocknung nicht genügt</w:t>
      </w:r>
      <w:r w:rsidR="00585F8E">
        <w:rPr>
          <w:rFonts w:ascii="Arial" w:hAnsi="Arial" w:cs="Arial"/>
          <w:bCs/>
        </w:rPr>
        <w:t>. «Künstliche»</w:t>
      </w:r>
      <w:r>
        <w:rPr>
          <w:rFonts w:ascii="Arial" w:hAnsi="Arial" w:cs="Arial"/>
          <w:bCs/>
        </w:rPr>
        <w:t xml:space="preserve"> Trocknung </w:t>
      </w:r>
      <w:r w:rsidR="00585F8E">
        <w:rPr>
          <w:rFonts w:ascii="Arial" w:hAnsi="Arial" w:cs="Arial"/>
          <w:bCs/>
        </w:rPr>
        <w:t xml:space="preserve">ist </w:t>
      </w:r>
      <w:r>
        <w:rPr>
          <w:rFonts w:ascii="Arial" w:hAnsi="Arial" w:cs="Arial"/>
          <w:bCs/>
        </w:rPr>
        <w:t>aufwendig und nur in begrenzter Kapazität verfügbar. Momentan sind die Lager der Lieferanten vielerorts ausverkauft</w:t>
      </w:r>
      <w:r w:rsidR="00A23891">
        <w:rPr>
          <w:rFonts w:ascii="Arial" w:hAnsi="Arial" w:cs="Arial"/>
          <w:bCs/>
        </w:rPr>
        <w:t xml:space="preserve">, da sich die Nachfrage </w:t>
      </w:r>
      <w:r w:rsidR="00585F8E">
        <w:rPr>
          <w:rFonts w:ascii="Arial" w:hAnsi="Arial" w:cs="Arial"/>
          <w:bCs/>
        </w:rPr>
        <w:t xml:space="preserve">verdoppelt bis </w:t>
      </w:r>
      <w:r w:rsidR="00A23891">
        <w:rPr>
          <w:rFonts w:ascii="Arial" w:hAnsi="Arial" w:cs="Arial"/>
          <w:bCs/>
        </w:rPr>
        <w:t>verdreifacht hat</w:t>
      </w:r>
      <w:r w:rsidR="00FD196D">
        <w:rPr>
          <w:rFonts w:ascii="Arial" w:hAnsi="Arial" w:cs="Arial"/>
          <w:bCs/>
        </w:rPr>
        <w:t>.</w:t>
      </w:r>
      <w:r>
        <w:rPr>
          <w:rFonts w:ascii="Arial" w:hAnsi="Arial" w:cs="Arial"/>
          <w:bCs/>
        </w:rPr>
        <w:t xml:space="preserve"> </w:t>
      </w:r>
      <w:r w:rsidR="00A23891">
        <w:rPr>
          <w:rFonts w:ascii="Arial" w:hAnsi="Arial" w:cs="Arial"/>
          <w:bCs/>
        </w:rPr>
        <w:t xml:space="preserve">Stückholz kann im nächsten Winter helfen, die Auswirkungen allfälliger Energieengpässe zu vermeiden. Logischerweise aber nur in Gebäuden, in denen Anlagen installiert sind. Eine </w:t>
      </w:r>
      <w:r w:rsidR="005B10CE">
        <w:rPr>
          <w:rFonts w:ascii="Arial" w:hAnsi="Arial" w:cs="Arial"/>
          <w:bCs/>
        </w:rPr>
        <w:t>intensivere Nutzung</w:t>
      </w:r>
      <w:r w:rsidR="00A23891">
        <w:rPr>
          <w:rFonts w:ascii="Arial" w:hAnsi="Arial" w:cs="Arial"/>
          <w:bCs/>
        </w:rPr>
        <w:t xml:space="preserve"> der </w:t>
      </w:r>
      <w:r w:rsidR="009F58A6">
        <w:rPr>
          <w:rFonts w:ascii="Arial" w:hAnsi="Arial" w:cs="Arial"/>
          <w:bCs/>
        </w:rPr>
        <w:t xml:space="preserve">bestehenden </w:t>
      </w:r>
      <w:r w:rsidR="00A23891">
        <w:rPr>
          <w:rFonts w:ascii="Arial" w:hAnsi="Arial" w:cs="Arial"/>
          <w:bCs/>
        </w:rPr>
        <w:t xml:space="preserve">Stückholzheizungen kann den </w:t>
      </w:r>
      <w:r w:rsidR="009F58A6">
        <w:rPr>
          <w:rFonts w:ascii="Arial" w:hAnsi="Arial" w:cs="Arial"/>
          <w:bCs/>
        </w:rPr>
        <w:t>H</w:t>
      </w:r>
      <w:r w:rsidR="00A23891">
        <w:rPr>
          <w:rFonts w:ascii="Arial" w:hAnsi="Arial" w:cs="Arial"/>
          <w:bCs/>
        </w:rPr>
        <w:t xml:space="preserve">olzverbrauch </w:t>
      </w:r>
      <w:r w:rsidR="009F58A6">
        <w:rPr>
          <w:rFonts w:ascii="Arial" w:hAnsi="Arial" w:cs="Arial"/>
          <w:bCs/>
        </w:rPr>
        <w:t>gemäss Szenario von Holzenergie Schweiz im nächsten Winter um bis zu 130’000</w:t>
      </w:r>
      <w:r w:rsidR="00A23891">
        <w:rPr>
          <w:rFonts w:ascii="Arial" w:hAnsi="Arial" w:cs="Arial"/>
          <w:bCs/>
        </w:rPr>
        <w:t xml:space="preserve"> Kubikmeter erhöhen. </w:t>
      </w:r>
    </w:p>
    <w:p w14:paraId="5A9EA470" w14:textId="05765B48" w:rsidR="00A23891" w:rsidRPr="00C4629D" w:rsidRDefault="00A23891">
      <w:pPr>
        <w:spacing w:after="160" w:line="259" w:lineRule="auto"/>
        <w:rPr>
          <w:rFonts w:ascii="Arial" w:hAnsi="Arial" w:cs="Arial"/>
          <w:b/>
        </w:rPr>
      </w:pPr>
      <w:r w:rsidRPr="00C4629D">
        <w:rPr>
          <w:rFonts w:ascii="Arial" w:hAnsi="Arial" w:cs="Arial"/>
          <w:b/>
        </w:rPr>
        <w:t>Pellets</w:t>
      </w:r>
      <w:r w:rsidR="00CD7BE9" w:rsidRPr="00C4629D">
        <w:rPr>
          <w:rFonts w:ascii="Arial" w:hAnsi="Arial" w:cs="Arial"/>
          <w:b/>
        </w:rPr>
        <w:t>,</w:t>
      </w:r>
      <w:r w:rsidR="00C4629D">
        <w:rPr>
          <w:rFonts w:ascii="Arial" w:hAnsi="Arial" w:cs="Arial"/>
          <w:b/>
        </w:rPr>
        <w:t xml:space="preserve"> geeignet für Anlagen mit maximal 1'000 kW </w:t>
      </w:r>
      <w:r w:rsidR="00893BF8">
        <w:rPr>
          <w:rFonts w:ascii="Arial" w:hAnsi="Arial" w:cs="Arial"/>
          <w:b/>
        </w:rPr>
        <w:t>L</w:t>
      </w:r>
      <w:r w:rsidR="00C4629D">
        <w:rPr>
          <w:rFonts w:ascii="Arial" w:hAnsi="Arial" w:cs="Arial"/>
          <w:b/>
        </w:rPr>
        <w:t>eistung</w:t>
      </w:r>
      <w:r w:rsidR="00CD7BE9" w:rsidRPr="00C4629D">
        <w:rPr>
          <w:rFonts w:ascii="Arial" w:hAnsi="Arial" w:cs="Arial"/>
          <w:b/>
        </w:rPr>
        <w:t xml:space="preserve"> </w:t>
      </w:r>
    </w:p>
    <w:p w14:paraId="00F1D869" w14:textId="2AE091FD" w:rsidR="00A23891" w:rsidRDefault="00CD7BE9">
      <w:pPr>
        <w:spacing w:after="160" w:line="259" w:lineRule="auto"/>
        <w:rPr>
          <w:rFonts w:ascii="Arial" w:hAnsi="Arial" w:cs="Arial"/>
          <w:bCs/>
        </w:rPr>
      </w:pPr>
      <w:r>
        <w:rPr>
          <w:rFonts w:ascii="Arial" w:hAnsi="Arial" w:cs="Arial"/>
          <w:bCs/>
        </w:rPr>
        <w:t xml:space="preserve">Pelletfeuerungen </w:t>
      </w:r>
      <w:r w:rsidR="00555396">
        <w:rPr>
          <w:rFonts w:ascii="Arial" w:hAnsi="Arial" w:cs="Arial"/>
          <w:bCs/>
        </w:rPr>
        <w:t>erlebten</w:t>
      </w:r>
      <w:r>
        <w:rPr>
          <w:rFonts w:ascii="Arial" w:hAnsi="Arial" w:cs="Arial"/>
          <w:bCs/>
        </w:rPr>
        <w:t xml:space="preserve"> in den letzten Jahren einen Boom. Der Verband </w:t>
      </w:r>
      <w:r w:rsidRPr="00CD7BE9">
        <w:rPr>
          <w:rFonts w:ascii="Arial" w:hAnsi="Arial" w:cs="Arial"/>
          <w:bCs/>
        </w:rPr>
        <w:t xml:space="preserve">ProPellets.ch beziffert den maximalen Pelletbedarf für 2022 auf </w:t>
      </w:r>
      <w:r w:rsidR="00627E2D">
        <w:rPr>
          <w:rFonts w:ascii="Arial" w:hAnsi="Arial" w:cs="Arial"/>
          <w:bCs/>
        </w:rPr>
        <w:t xml:space="preserve">rund </w:t>
      </w:r>
      <w:r w:rsidRPr="00CD7BE9">
        <w:rPr>
          <w:rFonts w:ascii="Arial" w:hAnsi="Arial" w:cs="Arial"/>
          <w:bCs/>
        </w:rPr>
        <w:t>4</w:t>
      </w:r>
      <w:r w:rsidR="00627E2D">
        <w:rPr>
          <w:rFonts w:ascii="Arial" w:hAnsi="Arial" w:cs="Arial"/>
          <w:bCs/>
        </w:rPr>
        <w:t>60’</w:t>
      </w:r>
      <w:r w:rsidRPr="00CD7BE9">
        <w:rPr>
          <w:rFonts w:ascii="Arial" w:hAnsi="Arial" w:cs="Arial"/>
          <w:bCs/>
        </w:rPr>
        <w:t xml:space="preserve">000 t und die maximale Inlandproduktion auf </w:t>
      </w:r>
      <w:r w:rsidR="00585F8E">
        <w:rPr>
          <w:rFonts w:ascii="Arial" w:hAnsi="Arial" w:cs="Arial"/>
          <w:bCs/>
        </w:rPr>
        <w:t xml:space="preserve">etwa </w:t>
      </w:r>
      <w:r w:rsidRPr="00CD7BE9">
        <w:rPr>
          <w:rFonts w:ascii="Arial" w:hAnsi="Arial" w:cs="Arial"/>
          <w:bCs/>
        </w:rPr>
        <w:t>3</w:t>
      </w:r>
      <w:r w:rsidR="00585F8E">
        <w:rPr>
          <w:rFonts w:ascii="Arial" w:hAnsi="Arial" w:cs="Arial"/>
          <w:bCs/>
        </w:rPr>
        <w:t>60</w:t>
      </w:r>
      <w:r w:rsidRPr="00CD7BE9">
        <w:rPr>
          <w:rFonts w:ascii="Arial" w:hAnsi="Arial" w:cs="Arial"/>
          <w:bCs/>
        </w:rPr>
        <w:t>'000 t.</w:t>
      </w:r>
      <w:r>
        <w:rPr>
          <w:rFonts w:ascii="Arial" w:hAnsi="Arial" w:cs="Arial"/>
          <w:bCs/>
        </w:rPr>
        <w:t xml:space="preserve"> Schon heute übersteigt der Bedarf die Produktion deutlich. Der </w:t>
      </w:r>
      <w:r w:rsidR="00807459">
        <w:rPr>
          <w:rFonts w:ascii="Arial" w:hAnsi="Arial" w:cs="Arial"/>
          <w:bCs/>
        </w:rPr>
        <w:t xml:space="preserve">kurzfristige </w:t>
      </w:r>
      <w:r>
        <w:rPr>
          <w:rFonts w:ascii="Arial" w:hAnsi="Arial" w:cs="Arial"/>
          <w:bCs/>
        </w:rPr>
        <w:t xml:space="preserve">Import grosser zusätzlicher Mengen dürfte schwierig werden, da die Nachfrage in allen anderen Ländern ebenfalls stark anstieg. </w:t>
      </w:r>
      <w:r w:rsidR="00F57C2A">
        <w:rPr>
          <w:rFonts w:ascii="Arial" w:hAnsi="Arial" w:cs="Arial"/>
          <w:bCs/>
        </w:rPr>
        <w:t xml:space="preserve">Eine gewisse Brisanz hat die Frage, in welchen Anlagenkategorien die Nutzung von Pellets Sinn macht. Holzenergie Schweiz empfiehlt, naturbelassene Pellets in Anlagen </w:t>
      </w:r>
      <w:r w:rsidR="00360B97">
        <w:rPr>
          <w:rFonts w:ascii="Arial" w:hAnsi="Arial" w:cs="Arial"/>
          <w:bCs/>
        </w:rPr>
        <w:t xml:space="preserve">von </w:t>
      </w:r>
      <w:r w:rsidR="00555396">
        <w:rPr>
          <w:rFonts w:ascii="Arial" w:hAnsi="Arial" w:cs="Arial"/>
          <w:bCs/>
        </w:rPr>
        <w:t>höchstens</w:t>
      </w:r>
      <w:r w:rsidR="00F57C2A">
        <w:rPr>
          <w:rFonts w:ascii="Arial" w:hAnsi="Arial" w:cs="Arial"/>
          <w:bCs/>
        </w:rPr>
        <w:t xml:space="preserve"> 1'000 Kilowatt (kW) Leistung zu nutzen. </w:t>
      </w:r>
      <w:r w:rsidR="00360B97">
        <w:rPr>
          <w:rFonts w:ascii="Arial" w:hAnsi="Arial" w:cs="Arial"/>
          <w:bCs/>
        </w:rPr>
        <w:t xml:space="preserve">Begründet wird die Obergrenze insbesondere mit dem </w:t>
      </w:r>
      <w:r w:rsidR="00C4629D">
        <w:rPr>
          <w:rFonts w:ascii="Arial" w:hAnsi="Arial" w:cs="Arial"/>
          <w:bCs/>
        </w:rPr>
        <w:t>Energiea</w:t>
      </w:r>
      <w:r w:rsidR="00360B97">
        <w:rPr>
          <w:rFonts w:ascii="Arial" w:hAnsi="Arial" w:cs="Arial"/>
          <w:bCs/>
        </w:rPr>
        <w:t>ufwand der Pellet</w:t>
      </w:r>
      <w:r w:rsidR="00C4629D">
        <w:rPr>
          <w:rFonts w:ascii="Arial" w:hAnsi="Arial" w:cs="Arial"/>
          <w:bCs/>
        </w:rPr>
        <w:t>s</w:t>
      </w:r>
      <w:r w:rsidR="00360B97">
        <w:rPr>
          <w:rFonts w:ascii="Arial" w:hAnsi="Arial" w:cs="Arial"/>
          <w:bCs/>
        </w:rPr>
        <w:t>- im Vergleich zur Hackschnitzelherstellung</w:t>
      </w:r>
      <w:r w:rsidR="00C4629D">
        <w:rPr>
          <w:rFonts w:ascii="Arial" w:hAnsi="Arial" w:cs="Arial"/>
          <w:bCs/>
        </w:rPr>
        <w:t xml:space="preserve"> sowie mit der begrenzten Verfügbarkeit des Rohstoffs </w:t>
      </w:r>
      <w:r w:rsidR="00C4629D" w:rsidRPr="00C4629D">
        <w:rPr>
          <w:rFonts w:ascii="Arial" w:hAnsi="Arial" w:cs="Arial"/>
          <w:bCs/>
        </w:rPr>
        <w:t>(naturbelassenes Restholz/Sägemehl aus der Holzindustrie</w:t>
      </w:r>
      <w:r w:rsidR="00627E2D">
        <w:rPr>
          <w:rFonts w:ascii="Arial" w:hAnsi="Arial" w:cs="Arial"/>
          <w:bCs/>
        </w:rPr>
        <w:t>, neuerdings auch vermehrt Waldholz</w:t>
      </w:r>
      <w:r w:rsidR="00C4629D" w:rsidRPr="00C4629D">
        <w:rPr>
          <w:rFonts w:ascii="Arial" w:hAnsi="Arial" w:cs="Arial"/>
          <w:bCs/>
        </w:rPr>
        <w:t>)</w:t>
      </w:r>
      <w:r w:rsidR="00360B97">
        <w:rPr>
          <w:rFonts w:ascii="Arial" w:hAnsi="Arial" w:cs="Arial"/>
          <w:bCs/>
        </w:rPr>
        <w:t xml:space="preserve">. </w:t>
      </w:r>
      <w:r w:rsidR="00585F8E">
        <w:rPr>
          <w:rFonts w:ascii="Arial" w:hAnsi="Arial" w:cs="Arial"/>
          <w:bCs/>
        </w:rPr>
        <w:t xml:space="preserve">Anlagen </w:t>
      </w:r>
      <w:r w:rsidR="00795F54">
        <w:rPr>
          <w:rFonts w:ascii="Arial" w:hAnsi="Arial" w:cs="Arial"/>
          <w:bCs/>
        </w:rPr>
        <w:t>mit mehr als 1'000 kW Leistung sollten</w:t>
      </w:r>
      <w:r w:rsidR="00585F8E">
        <w:rPr>
          <w:rFonts w:ascii="Arial" w:hAnsi="Arial" w:cs="Arial"/>
          <w:bCs/>
        </w:rPr>
        <w:t xml:space="preserve"> mit Holzhackschnitzeln betrieben</w:t>
      </w:r>
      <w:r w:rsidR="00795F54">
        <w:rPr>
          <w:rFonts w:ascii="Arial" w:hAnsi="Arial" w:cs="Arial"/>
          <w:bCs/>
        </w:rPr>
        <w:t xml:space="preserve"> werden</w:t>
      </w:r>
      <w:r w:rsidR="00585F8E">
        <w:rPr>
          <w:rFonts w:ascii="Arial" w:hAnsi="Arial" w:cs="Arial"/>
          <w:bCs/>
        </w:rPr>
        <w:t>.</w:t>
      </w:r>
    </w:p>
    <w:p w14:paraId="01DBD78F" w14:textId="22199D3B" w:rsidR="00893BF8" w:rsidRPr="00893BF8" w:rsidRDefault="00893BF8">
      <w:pPr>
        <w:spacing w:after="160" w:line="259" w:lineRule="auto"/>
        <w:rPr>
          <w:rFonts w:ascii="Arial" w:hAnsi="Arial" w:cs="Arial"/>
          <w:b/>
        </w:rPr>
      </w:pPr>
      <w:r w:rsidRPr="00893BF8">
        <w:rPr>
          <w:rFonts w:ascii="Arial" w:hAnsi="Arial" w:cs="Arial"/>
          <w:b/>
        </w:rPr>
        <w:t xml:space="preserve">Holzhackschnitzel, universeller Brennstoff für grössere Holzfeuerungen </w:t>
      </w:r>
    </w:p>
    <w:p w14:paraId="502559A5" w14:textId="4F53F259" w:rsidR="000602F9" w:rsidRDefault="00961285">
      <w:pPr>
        <w:spacing w:after="160" w:line="259" w:lineRule="auto"/>
        <w:rPr>
          <w:rFonts w:ascii="Arial" w:hAnsi="Arial" w:cs="Arial"/>
          <w:bCs/>
        </w:rPr>
      </w:pPr>
      <w:r>
        <w:rPr>
          <w:rFonts w:ascii="Arial" w:hAnsi="Arial" w:cs="Arial"/>
          <w:bCs/>
        </w:rPr>
        <w:t>Grössere Projekte haben immer eine längere Vorlaufzeit. Somit kann sich die Nachfrage nicht kurzfristig sprunghaft verändern. Es sind aber sehr viele – teilweise auch sehr grosse – Projekte in der Pipeline</w:t>
      </w:r>
      <w:r w:rsidR="0041616F">
        <w:rPr>
          <w:rFonts w:ascii="Arial" w:hAnsi="Arial" w:cs="Arial"/>
          <w:bCs/>
        </w:rPr>
        <w:t xml:space="preserve">. Deshalb erwartet Holzenergie Schweiz </w:t>
      </w:r>
      <w:r>
        <w:rPr>
          <w:rFonts w:ascii="Arial" w:hAnsi="Arial" w:cs="Arial"/>
          <w:bCs/>
        </w:rPr>
        <w:t xml:space="preserve">in den nächsten zwei bis fünf Jahren eine deutlich grössere Nachfrage. </w:t>
      </w:r>
      <w:r w:rsidR="0041616F">
        <w:rPr>
          <w:rFonts w:ascii="Arial" w:hAnsi="Arial" w:cs="Arial"/>
          <w:bCs/>
        </w:rPr>
        <w:t>In der ganzen Schweiz sind viele Ideen für grosse Heiz</w:t>
      </w:r>
      <w:r w:rsidR="00B57416">
        <w:rPr>
          <w:rFonts w:ascii="Arial" w:hAnsi="Arial" w:cs="Arial"/>
          <w:bCs/>
        </w:rPr>
        <w:t>- und Kraft</w:t>
      </w:r>
      <w:r w:rsidR="0041616F">
        <w:rPr>
          <w:rFonts w:ascii="Arial" w:hAnsi="Arial" w:cs="Arial"/>
          <w:bCs/>
        </w:rPr>
        <w:t xml:space="preserve">werke im städtischen Umfeld vorhanden. Würden sie alle gebaut, würden sie das gesamte noch verfügbare Potential an Energieholz verschlingen. Aus dieser Sicht sind </w:t>
      </w:r>
      <w:r w:rsidR="0041616F">
        <w:rPr>
          <w:rFonts w:ascii="Arial" w:hAnsi="Arial" w:cs="Arial"/>
          <w:bCs/>
        </w:rPr>
        <w:lastRenderedPageBreak/>
        <w:t xml:space="preserve">alle </w:t>
      </w:r>
      <w:r w:rsidR="00621FC1">
        <w:rPr>
          <w:rFonts w:ascii="Arial" w:hAnsi="Arial" w:cs="Arial"/>
          <w:bCs/>
        </w:rPr>
        <w:t xml:space="preserve">sehr </w:t>
      </w:r>
      <w:r w:rsidR="0041616F">
        <w:rPr>
          <w:rFonts w:ascii="Arial" w:hAnsi="Arial" w:cs="Arial"/>
          <w:bCs/>
        </w:rPr>
        <w:t xml:space="preserve">grossen Projekte kritisch zu hinterfragen. </w:t>
      </w:r>
      <w:r w:rsidR="00621FC1">
        <w:rPr>
          <w:rFonts w:ascii="Arial" w:hAnsi="Arial" w:cs="Arial"/>
          <w:bCs/>
        </w:rPr>
        <w:t xml:space="preserve">Denn das benötigte Holz stammt aus Regionen, in denen die Gemeinden und Private </w:t>
      </w:r>
      <w:r w:rsidR="000602F9">
        <w:rPr>
          <w:rFonts w:ascii="Arial" w:hAnsi="Arial" w:cs="Arial"/>
          <w:bCs/>
        </w:rPr>
        <w:t>auf lokaler Ebene ihre eigenen</w:t>
      </w:r>
      <w:r w:rsidR="00621FC1">
        <w:rPr>
          <w:rFonts w:ascii="Arial" w:hAnsi="Arial" w:cs="Arial"/>
          <w:bCs/>
        </w:rPr>
        <w:t xml:space="preserve"> Projekte </w:t>
      </w:r>
      <w:r w:rsidR="00FD196D">
        <w:rPr>
          <w:rFonts w:ascii="Arial" w:hAnsi="Arial" w:cs="Arial"/>
          <w:bCs/>
        </w:rPr>
        <w:t xml:space="preserve">realisiert haben oder noch </w:t>
      </w:r>
      <w:r w:rsidR="00621FC1">
        <w:rPr>
          <w:rFonts w:ascii="Arial" w:hAnsi="Arial" w:cs="Arial"/>
          <w:bCs/>
        </w:rPr>
        <w:t xml:space="preserve">realisieren wollen. «Wenn das eigene Dorf einen Wärmeverbund mit Holzenergie betreibt und dafür Holz aus dem umliegenden Wald braucht, ist das ein gutes Beispiel für </w:t>
      </w:r>
      <w:r w:rsidR="000602F9">
        <w:rPr>
          <w:rFonts w:ascii="Arial" w:hAnsi="Arial" w:cs="Arial"/>
          <w:bCs/>
        </w:rPr>
        <w:t>eine</w:t>
      </w:r>
      <w:r w:rsidR="00621FC1">
        <w:rPr>
          <w:rFonts w:ascii="Arial" w:hAnsi="Arial" w:cs="Arial"/>
          <w:bCs/>
        </w:rPr>
        <w:t xml:space="preserve"> </w:t>
      </w:r>
      <w:r w:rsidR="000602F9">
        <w:rPr>
          <w:rFonts w:ascii="Arial" w:hAnsi="Arial" w:cs="Arial"/>
          <w:bCs/>
        </w:rPr>
        <w:t xml:space="preserve">effiziente und umweltschonende </w:t>
      </w:r>
      <w:r w:rsidR="00621FC1">
        <w:rPr>
          <w:rFonts w:ascii="Arial" w:hAnsi="Arial" w:cs="Arial"/>
          <w:bCs/>
        </w:rPr>
        <w:t xml:space="preserve">Kreislaufwirtschaft. Die Waldbesitzer werden ihr Holz für ihre eigenen Projekte brauchen. Es wird für weit entfernte </w:t>
      </w:r>
      <w:r w:rsidR="00807459">
        <w:rPr>
          <w:rFonts w:ascii="Arial" w:hAnsi="Arial" w:cs="Arial"/>
          <w:bCs/>
        </w:rPr>
        <w:t>Grossa</w:t>
      </w:r>
      <w:r w:rsidR="00621FC1">
        <w:rPr>
          <w:rFonts w:ascii="Arial" w:hAnsi="Arial" w:cs="Arial"/>
          <w:bCs/>
        </w:rPr>
        <w:t xml:space="preserve">nlagen </w:t>
      </w:r>
      <w:r w:rsidR="00807459">
        <w:rPr>
          <w:rFonts w:ascii="Arial" w:hAnsi="Arial" w:cs="Arial"/>
          <w:bCs/>
        </w:rPr>
        <w:t xml:space="preserve">in den Städten </w:t>
      </w:r>
      <w:r w:rsidR="00621FC1">
        <w:rPr>
          <w:rFonts w:ascii="Arial" w:hAnsi="Arial" w:cs="Arial"/>
          <w:bCs/>
        </w:rPr>
        <w:t xml:space="preserve">nicht zur Verfügung stehen. </w:t>
      </w:r>
      <w:r w:rsidR="006806F2">
        <w:rPr>
          <w:rFonts w:ascii="Arial" w:hAnsi="Arial" w:cs="Arial"/>
          <w:bCs/>
        </w:rPr>
        <w:t>Dieser Aspekt wird von den Promotoren der sehr grossen Projekte zu</w:t>
      </w:r>
      <w:r w:rsidR="001F1BC4">
        <w:rPr>
          <w:rFonts w:ascii="Arial" w:hAnsi="Arial" w:cs="Arial"/>
          <w:bCs/>
        </w:rPr>
        <w:t xml:space="preserve"> </w:t>
      </w:r>
      <w:r w:rsidR="006806F2">
        <w:rPr>
          <w:rFonts w:ascii="Arial" w:hAnsi="Arial" w:cs="Arial"/>
          <w:bCs/>
        </w:rPr>
        <w:t xml:space="preserve">wenig berücksichtigt», gibt Andreas Keel zu bedenken. </w:t>
      </w:r>
    </w:p>
    <w:p w14:paraId="7157E196" w14:textId="16153107" w:rsidR="000602F9" w:rsidRPr="000602F9" w:rsidRDefault="000602F9">
      <w:pPr>
        <w:spacing w:after="160" w:line="259" w:lineRule="auto"/>
        <w:rPr>
          <w:rFonts w:ascii="Arial" w:hAnsi="Arial" w:cs="Arial"/>
          <w:b/>
        </w:rPr>
      </w:pPr>
      <w:r w:rsidRPr="000602F9">
        <w:rPr>
          <w:rFonts w:ascii="Arial" w:hAnsi="Arial" w:cs="Arial"/>
          <w:b/>
        </w:rPr>
        <w:t>Altholz und neue Biomassen ins Auge fassen</w:t>
      </w:r>
    </w:p>
    <w:p w14:paraId="4BB1A405" w14:textId="1EE53585" w:rsidR="00893BF8" w:rsidRDefault="006806F2">
      <w:pPr>
        <w:spacing w:after="160" w:line="259" w:lineRule="auto"/>
        <w:rPr>
          <w:rFonts w:ascii="Arial" w:hAnsi="Arial" w:cs="Arial"/>
          <w:bCs/>
        </w:rPr>
      </w:pPr>
      <w:r>
        <w:rPr>
          <w:rFonts w:ascii="Arial" w:hAnsi="Arial" w:cs="Arial"/>
          <w:bCs/>
        </w:rPr>
        <w:t xml:space="preserve">Gleichzeitig macht er auf interessante, heute noch weitgehend ungenutzte Potentiale aufmerksam. Die Schweiz exportiert immer noch </w:t>
      </w:r>
      <w:r w:rsidR="00555396">
        <w:rPr>
          <w:rFonts w:ascii="Arial" w:hAnsi="Arial" w:cs="Arial"/>
          <w:bCs/>
        </w:rPr>
        <w:t xml:space="preserve">knapp </w:t>
      </w:r>
      <w:r w:rsidR="008A2FBC" w:rsidRPr="00555396">
        <w:rPr>
          <w:rFonts w:ascii="Arial" w:hAnsi="Arial" w:cs="Arial"/>
          <w:bCs/>
        </w:rPr>
        <w:t>300’000</w:t>
      </w:r>
      <w:r w:rsidRPr="00555396">
        <w:rPr>
          <w:rFonts w:ascii="Arial" w:hAnsi="Arial" w:cs="Arial"/>
          <w:bCs/>
        </w:rPr>
        <w:t xml:space="preserve"> Tonnen Altholz</w:t>
      </w:r>
      <w:r>
        <w:rPr>
          <w:rFonts w:ascii="Arial" w:hAnsi="Arial" w:cs="Arial"/>
          <w:bCs/>
        </w:rPr>
        <w:t xml:space="preserve">, das sich </w:t>
      </w:r>
      <w:r w:rsidR="008A2FBC">
        <w:rPr>
          <w:rFonts w:ascii="Arial" w:hAnsi="Arial" w:cs="Arial"/>
          <w:bCs/>
        </w:rPr>
        <w:t xml:space="preserve">– in Form von Hackschnitzeln – </w:t>
      </w:r>
      <w:r>
        <w:rPr>
          <w:rFonts w:ascii="Arial" w:hAnsi="Arial" w:cs="Arial"/>
          <w:bCs/>
        </w:rPr>
        <w:t>für den CO</w:t>
      </w:r>
      <w:r w:rsidRPr="006806F2">
        <w:rPr>
          <w:rFonts w:ascii="Arial" w:hAnsi="Arial" w:cs="Arial"/>
          <w:bCs/>
          <w:vertAlign w:val="subscript"/>
        </w:rPr>
        <w:t>2</w:t>
      </w:r>
      <w:r>
        <w:rPr>
          <w:rFonts w:ascii="Arial" w:hAnsi="Arial" w:cs="Arial"/>
          <w:bCs/>
        </w:rPr>
        <w:t>-neutralen Betrieb grosser und sehr grosser Anlagen eignen würde. Darüber hinaus gibt es Formen von Biomasse, die heute noch ausserhalb des energetischen Fokus</w:t>
      </w:r>
      <w:r w:rsidR="000602F9">
        <w:rPr>
          <w:rFonts w:ascii="Arial" w:hAnsi="Arial" w:cs="Arial"/>
          <w:bCs/>
        </w:rPr>
        <w:t>’</w:t>
      </w:r>
      <w:r>
        <w:rPr>
          <w:rFonts w:ascii="Arial" w:hAnsi="Arial" w:cs="Arial"/>
          <w:bCs/>
        </w:rPr>
        <w:t xml:space="preserve"> liegen. Beispielsweise Pferdemist. «Davon fallen in der Schweiz jedes Jahr etwa 300'000 Tonnen an, eine gewaltige Menge.», erklärt Keel.</w:t>
      </w:r>
    </w:p>
    <w:p w14:paraId="136E1B66" w14:textId="378C31FB" w:rsidR="008A2FBC" w:rsidRPr="008A2FBC" w:rsidRDefault="008A2FBC">
      <w:pPr>
        <w:spacing w:after="160" w:line="259" w:lineRule="auto"/>
        <w:rPr>
          <w:rFonts w:ascii="Arial" w:hAnsi="Arial" w:cs="Arial"/>
          <w:b/>
        </w:rPr>
      </w:pPr>
      <w:r w:rsidRPr="008A2FBC">
        <w:rPr>
          <w:rFonts w:ascii="Arial" w:hAnsi="Arial" w:cs="Arial"/>
          <w:b/>
        </w:rPr>
        <w:t>Holz ist eine dezentrale Energiequelle, die dezentral genutzt werden sollte</w:t>
      </w:r>
    </w:p>
    <w:p w14:paraId="089BCEB4" w14:textId="48191F84" w:rsidR="008A2FBC" w:rsidRDefault="008A2FBC">
      <w:pPr>
        <w:spacing w:after="160" w:line="259" w:lineRule="auto"/>
        <w:rPr>
          <w:rFonts w:ascii="Arial" w:hAnsi="Arial" w:cs="Arial"/>
          <w:bCs/>
        </w:rPr>
      </w:pPr>
      <w:r>
        <w:rPr>
          <w:rFonts w:ascii="Arial" w:hAnsi="Arial" w:cs="Arial"/>
          <w:bCs/>
        </w:rPr>
        <w:t xml:space="preserve">Der Grundsatz «Aus der Region – Für die Region» gilt für die Holzenergie </w:t>
      </w:r>
      <w:r w:rsidR="00F0372B">
        <w:rPr>
          <w:rFonts w:ascii="Arial" w:hAnsi="Arial" w:cs="Arial"/>
          <w:bCs/>
        </w:rPr>
        <w:t xml:space="preserve">ganz besonders. </w:t>
      </w:r>
      <w:r>
        <w:rPr>
          <w:rFonts w:ascii="Arial" w:hAnsi="Arial" w:cs="Arial"/>
          <w:bCs/>
        </w:rPr>
        <w:t xml:space="preserve">Kurze Transportwege und regionale Wertschöpfung sind ihre Stärken. Wald wächst in </w:t>
      </w:r>
      <w:r w:rsidR="0007368B">
        <w:rPr>
          <w:rFonts w:ascii="Arial" w:hAnsi="Arial" w:cs="Arial"/>
          <w:bCs/>
        </w:rPr>
        <w:t>allen Regionen</w:t>
      </w:r>
      <w:r w:rsidR="00F0372B">
        <w:rPr>
          <w:rFonts w:ascii="Arial" w:hAnsi="Arial" w:cs="Arial"/>
          <w:bCs/>
        </w:rPr>
        <w:t>. Er</w:t>
      </w:r>
      <w:r w:rsidR="0007368B">
        <w:rPr>
          <w:rFonts w:ascii="Arial" w:hAnsi="Arial" w:cs="Arial"/>
          <w:bCs/>
        </w:rPr>
        <w:t xml:space="preserve"> gehört rund 250'000 öffentlichen und privaten Waldbesitzerinnen und -besitzern. Diese werden in einem angespannten Energiemarkt ihr eigenes Holz selber nutzen</w:t>
      </w:r>
      <w:r w:rsidR="00F0372B">
        <w:rPr>
          <w:rFonts w:ascii="Arial" w:hAnsi="Arial" w:cs="Arial"/>
          <w:bCs/>
        </w:rPr>
        <w:t xml:space="preserve"> wollen</w:t>
      </w:r>
      <w:r w:rsidR="0007368B">
        <w:rPr>
          <w:rFonts w:ascii="Arial" w:hAnsi="Arial" w:cs="Arial"/>
          <w:bCs/>
        </w:rPr>
        <w:t xml:space="preserve">, sei es in lokalen Stückholz-, Pellets- oder Schnitzelheizungen. </w:t>
      </w:r>
    </w:p>
    <w:p w14:paraId="1E06C0BE" w14:textId="77777777" w:rsidR="001A11B4" w:rsidRDefault="001A11B4" w:rsidP="00555396">
      <w:pPr>
        <w:spacing w:after="160" w:line="259" w:lineRule="auto"/>
        <w:rPr>
          <w:rFonts w:ascii="Arial" w:hAnsi="Arial" w:cs="Arial"/>
          <w:b/>
        </w:rPr>
      </w:pPr>
    </w:p>
    <w:p w14:paraId="6339276E" w14:textId="041CF6FE" w:rsidR="00555396" w:rsidRDefault="00555396" w:rsidP="00555396">
      <w:pPr>
        <w:spacing w:after="160" w:line="259" w:lineRule="auto"/>
        <w:rPr>
          <w:rFonts w:ascii="Arial" w:hAnsi="Arial" w:cs="Arial"/>
          <w:bCs/>
        </w:rPr>
      </w:pPr>
      <w:r w:rsidRPr="00F777DA">
        <w:rPr>
          <w:rFonts w:ascii="Arial" w:hAnsi="Arial" w:cs="Arial"/>
          <w:b/>
          <w:noProof/>
        </w:rPr>
        <mc:AlternateContent>
          <mc:Choice Requires="wps">
            <w:drawing>
              <wp:anchor distT="0" distB="0" distL="114300" distR="114300" simplePos="0" relativeHeight="251659264" behindDoc="0" locked="0" layoutInCell="1" allowOverlap="1" wp14:anchorId="418D48A4" wp14:editId="642890B2">
                <wp:simplePos x="0" y="0"/>
                <wp:positionH relativeFrom="column">
                  <wp:posOffset>7880</wp:posOffset>
                </wp:positionH>
                <wp:positionV relativeFrom="paragraph">
                  <wp:posOffset>280446</wp:posOffset>
                </wp:positionV>
                <wp:extent cx="1140759" cy="549088"/>
                <wp:effectExtent l="0" t="0" r="21590" b="22860"/>
                <wp:wrapNone/>
                <wp:docPr id="6" name="Gerader Verbinder 6"/>
                <wp:cNvGraphicFramePr/>
                <a:graphic xmlns:a="http://schemas.openxmlformats.org/drawingml/2006/main">
                  <a:graphicData uri="http://schemas.microsoft.com/office/word/2010/wordprocessingShape">
                    <wps:wsp>
                      <wps:cNvCnPr/>
                      <wps:spPr>
                        <a:xfrm>
                          <a:off x="0" y="0"/>
                          <a:ext cx="1140759" cy="5490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7E34E" id="Gerader Verbinde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22.1pt" to="90.4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" strokecolor="black [3200]" strokeweight=".5pt">
                <v:stroke joinstyle="miter"/>
              </v:line>
            </w:pict>
          </mc:Fallback>
        </mc:AlternateContent>
      </w:r>
      <w:r w:rsidRPr="00F777DA">
        <w:rPr>
          <w:rFonts w:ascii="Arial" w:hAnsi="Arial" w:cs="Arial"/>
          <w:b/>
        </w:rPr>
        <w:t>Empfehlungen von Holzenergie Schweiz</w:t>
      </w:r>
    </w:p>
    <w:tbl>
      <w:tblPr>
        <w:tblStyle w:val="Tabellenraster"/>
        <w:tblW w:w="9209" w:type="dxa"/>
        <w:tblLook w:val="04A0" w:firstRow="1" w:lastRow="0" w:firstColumn="1" w:lastColumn="0" w:noHBand="0" w:noVBand="1"/>
      </w:tblPr>
      <w:tblGrid>
        <w:gridCol w:w="1808"/>
        <w:gridCol w:w="2467"/>
        <w:gridCol w:w="2467"/>
        <w:gridCol w:w="2467"/>
      </w:tblGrid>
      <w:tr w:rsidR="00555396" w14:paraId="3D913259" w14:textId="77777777" w:rsidTr="003651FF">
        <w:tc>
          <w:tcPr>
            <w:tcW w:w="1808" w:type="dxa"/>
          </w:tcPr>
          <w:p w14:paraId="22AA9795" w14:textId="77777777" w:rsidR="00555396" w:rsidRDefault="00555396" w:rsidP="003651FF">
            <w:pPr>
              <w:spacing w:after="160" w:line="259" w:lineRule="auto"/>
              <w:rPr>
                <w:rFonts w:ascii="Arial" w:hAnsi="Arial" w:cs="Arial"/>
                <w:bCs/>
              </w:rPr>
            </w:pPr>
            <w:r>
              <w:rPr>
                <w:rFonts w:ascii="Arial" w:hAnsi="Arial" w:cs="Arial"/>
                <w:bCs/>
              </w:rPr>
              <w:t xml:space="preserve">               Form</w:t>
            </w:r>
          </w:p>
          <w:p w14:paraId="0585E2D5" w14:textId="77777777" w:rsidR="00555396" w:rsidRDefault="00555396" w:rsidP="003651FF">
            <w:pPr>
              <w:spacing w:after="160" w:line="259" w:lineRule="auto"/>
              <w:rPr>
                <w:rFonts w:ascii="Arial" w:hAnsi="Arial" w:cs="Arial"/>
                <w:bCs/>
              </w:rPr>
            </w:pPr>
            <w:r>
              <w:rPr>
                <w:rFonts w:ascii="Arial" w:hAnsi="Arial" w:cs="Arial"/>
                <w:bCs/>
              </w:rPr>
              <w:t>Sortiment</w:t>
            </w:r>
          </w:p>
        </w:tc>
        <w:tc>
          <w:tcPr>
            <w:tcW w:w="2467" w:type="dxa"/>
          </w:tcPr>
          <w:p w14:paraId="7C5BC597" w14:textId="77777777" w:rsidR="00555396" w:rsidRDefault="00555396" w:rsidP="003651FF">
            <w:pPr>
              <w:spacing w:after="160" w:line="259" w:lineRule="auto"/>
              <w:rPr>
                <w:rFonts w:ascii="Arial" w:hAnsi="Arial" w:cs="Arial"/>
                <w:bCs/>
              </w:rPr>
            </w:pPr>
            <w:r>
              <w:rPr>
                <w:rFonts w:ascii="Arial" w:hAnsi="Arial" w:cs="Arial"/>
                <w:bCs/>
              </w:rPr>
              <w:t>Stückholz</w:t>
            </w:r>
            <w:r>
              <w:rPr>
                <w:rFonts w:ascii="Arial" w:hAnsi="Arial" w:cs="Arial"/>
                <w:bCs/>
              </w:rPr>
              <w:br/>
              <w:t>Anlagen mit 5 – 70 kW Leistung</w:t>
            </w:r>
          </w:p>
        </w:tc>
        <w:tc>
          <w:tcPr>
            <w:tcW w:w="2469" w:type="dxa"/>
          </w:tcPr>
          <w:p w14:paraId="67B8253E" w14:textId="77777777" w:rsidR="00555396" w:rsidRDefault="00555396" w:rsidP="003651FF">
            <w:pPr>
              <w:spacing w:after="160" w:line="259" w:lineRule="auto"/>
              <w:rPr>
                <w:rFonts w:ascii="Arial" w:hAnsi="Arial" w:cs="Arial"/>
                <w:bCs/>
              </w:rPr>
            </w:pPr>
            <w:r>
              <w:rPr>
                <w:rFonts w:ascii="Arial" w:hAnsi="Arial" w:cs="Arial"/>
                <w:bCs/>
              </w:rPr>
              <w:t xml:space="preserve">Hackschnitzel </w:t>
            </w:r>
            <w:r>
              <w:rPr>
                <w:rFonts w:ascii="Arial" w:hAnsi="Arial" w:cs="Arial"/>
                <w:bCs/>
              </w:rPr>
              <w:br/>
              <w:t>Anlagen mit 50 – 10'000 kW Leistung</w:t>
            </w:r>
          </w:p>
        </w:tc>
        <w:tc>
          <w:tcPr>
            <w:tcW w:w="2465" w:type="dxa"/>
          </w:tcPr>
          <w:p w14:paraId="1E79B13D" w14:textId="77777777" w:rsidR="00555396" w:rsidRDefault="00555396" w:rsidP="003651FF">
            <w:pPr>
              <w:spacing w:after="160" w:line="259" w:lineRule="auto"/>
              <w:rPr>
                <w:rFonts w:ascii="Arial" w:hAnsi="Arial" w:cs="Arial"/>
                <w:bCs/>
              </w:rPr>
            </w:pPr>
            <w:r>
              <w:rPr>
                <w:rFonts w:ascii="Arial" w:hAnsi="Arial" w:cs="Arial"/>
                <w:bCs/>
              </w:rPr>
              <w:t>Pellets</w:t>
            </w:r>
            <w:r>
              <w:rPr>
                <w:rFonts w:ascii="Arial" w:hAnsi="Arial" w:cs="Arial"/>
                <w:bCs/>
              </w:rPr>
              <w:br/>
              <w:t>Anlagen mit 5 – 1'000 kW Leistung</w:t>
            </w:r>
          </w:p>
        </w:tc>
      </w:tr>
      <w:tr w:rsidR="00555396" w14:paraId="7E8667C8" w14:textId="77777777" w:rsidTr="003651FF">
        <w:tc>
          <w:tcPr>
            <w:tcW w:w="1808" w:type="dxa"/>
          </w:tcPr>
          <w:p w14:paraId="06455B39" w14:textId="77777777" w:rsidR="00555396" w:rsidRDefault="00555396" w:rsidP="003651FF">
            <w:pPr>
              <w:spacing w:after="160" w:line="259" w:lineRule="auto"/>
              <w:rPr>
                <w:rFonts w:ascii="Arial" w:hAnsi="Arial" w:cs="Arial"/>
                <w:bCs/>
              </w:rPr>
            </w:pPr>
            <w:r>
              <w:rPr>
                <w:rFonts w:ascii="Arial" w:hAnsi="Arial" w:cs="Arial"/>
                <w:bCs/>
              </w:rPr>
              <w:t>Wald-/Rest-/Landschafts-pflegeholz,</w:t>
            </w:r>
            <w:r>
              <w:rPr>
                <w:rFonts w:ascii="Arial" w:hAnsi="Arial" w:cs="Arial"/>
                <w:bCs/>
              </w:rPr>
              <w:br/>
              <w:t>naturbelassen</w:t>
            </w:r>
          </w:p>
        </w:tc>
        <w:tc>
          <w:tcPr>
            <w:tcW w:w="2467" w:type="dxa"/>
          </w:tcPr>
          <w:p w14:paraId="2DC959D9" w14:textId="6DFCFE39" w:rsidR="00555396" w:rsidRDefault="00555396" w:rsidP="003651FF">
            <w:pPr>
              <w:spacing w:after="160" w:line="259" w:lineRule="auto"/>
              <w:rPr>
                <w:rFonts w:ascii="Arial" w:hAnsi="Arial" w:cs="Arial"/>
                <w:bCs/>
              </w:rPr>
            </w:pPr>
            <w:r>
              <w:rPr>
                <w:rFonts w:ascii="Arial" w:hAnsi="Arial" w:cs="Arial"/>
                <w:bCs/>
              </w:rPr>
              <w:t>Wohnraumfeuerungen, Zentralheizungskessel, einzelne Räume, EFH, kleine MFH</w:t>
            </w:r>
            <w:r w:rsidR="006572CE">
              <w:rPr>
                <w:rFonts w:ascii="Arial" w:hAnsi="Arial" w:cs="Arial"/>
                <w:bCs/>
              </w:rPr>
              <w:t>,</w:t>
            </w:r>
            <w:r>
              <w:rPr>
                <w:rFonts w:ascii="Arial" w:hAnsi="Arial" w:cs="Arial"/>
                <w:bCs/>
              </w:rPr>
              <w:t xml:space="preserve"> Anlagen 5 – 70 kW Leistung</w:t>
            </w:r>
          </w:p>
        </w:tc>
        <w:tc>
          <w:tcPr>
            <w:tcW w:w="2469" w:type="dxa"/>
          </w:tcPr>
          <w:p w14:paraId="20889FE4" w14:textId="77777777" w:rsidR="00555396" w:rsidRDefault="00555396" w:rsidP="003651FF">
            <w:pPr>
              <w:spacing w:after="160" w:line="259" w:lineRule="auto"/>
              <w:rPr>
                <w:rFonts w:ascii="Arial" w:hAnsi="Arial" w:cs="Arial"/>
                <w:bCs/>
              </w:rPr>
            </w:pPr>
            <w:r>
              <w:rPr>
                <w:rFonts w:ascii="Arial" w:hAnsi="Arial" w:cs="Arial"/>
                <w:bCs/>
              </w:rPr>
              <w:t>MFH, grosse Einzelgebäude, Wärmenetze; Anlagen 50 – 10'000 kW</w:t>
            </w:r>
          </w:p>
        </w:tc>
        <w:tc>
          <w:tcPr>
            <w:tcW w:w="2465" w:type="dxa"/>
          </w:tcPr>
          <w:p w14:paraId="346AC14D" w14:textId="77777777" w:rsidR="00555396" w:rsidRDefault="00555396" w:rsidP="003651FF">
            <w:pPr>
              <w:spacing w:after="160" w:line="259" w:lineRule="auto"/>
              <w:rPr>
                <w:rFonts w:ascii="Arial" w:hAnsi="Arial" w:cs="Arial"/>
                <w:bCs/>
              </w:rPr>
            </w:pPr>
            <w:r>
              <w:rPr>
                <w:rFonts w:ascii="Arial" w:hAnsi="Arial" w:cs="Arial"/>
                <w:bCs/>
              </w:rPr>
              <w:t>Wohnraumfeuerungen, EFH und MFH, Wärmenetze, Anlagen unter 1'000 kW</w:t>
            </w:r>
          </w:p>
        </w:tc>
      </w:tr>
      <w:tr w:rsidR="00555396" w14:paraId="2E6EAAD2" w14:textId="77777777" w:rsidTr="003651FF">
        <w:tc>
          <w:tcPr>
            <w:tcW w:w="1808" w:type="dxa"/>
          </w:tcPr>
          <w:p w14:paraId="0548686F" w14:textId="77777777" w:rsidR="00555396" w:rsidRDefault="00555396" w:rsidP="003651FF">
            <w:pPr>
              <w:spacing w:after="160" w:line="259" w:lineRule="auto"/>
              <w:rPr>
                <w:rFonts w:ascii="Arial" w:hAnsi="Arial" w:cs="Arial"/>
                <w:bCs/>
              </w:rPr>
            </w:pPr>
            <w:r>
              <w:rPr>
                <w:rFonts w:ascii="Arial" w:hAnsi="Arial" w:cs="Arial"/>
                <w:bCs/>
              </w:rPr>
              <w:t>Rest-/Altholz,</w:t>
            </w:r>
            <w:r>
              <w:rPr>
                <w:rFonts w:ascii="Arial" w:hAnsi="Arial" w:cs="Arial"/>
                <w:bCs/>
              </w:rPr>
              <w:br/>
              <w:t>belastet</w:t>
            </w:r>
          </w:p>
        </w:tc>
        <w:tc>
          <w:tcPr>
            <w:tcW w:w="2467" w:type="dxa"/>
          </w:tcPr>
          <w:p w14:paraId="45DB18B4" w14:textId="77777777" w:rsidR="00555396" w:rsidRDefault="00555396" w:rsidP="003651FF">
            <w:pPr>
              <w:spacing w:after="160" w:line="259" w:lineRule="auto"/>
              <w:rPr>
                <w:rFonts w:ascii="Arial" w:hAnsi="Arial" w:cs="Arial"/>
                <w:bCs/>
              </w:rPr>
            </w:pPr>
            <w:r>
              <w:rPr>
                <w:rFonts w:ascii="Arial" w:hAnsi="Arial" w:cs="Arial"/>
                <w:bCs/>
              </w:rPr>
              <w:t>---</w:t>
            </w:r>
          </w:p>
        </w:tc>
        <w:tc>
          <w:tcPr>
            <w:tcW w:w="2469" w:type="dxa"/>
          </w:tcPr>
          <w:p w14:paraId="014F9BF1" w14:textId="77777777" w:rsidR="00555396" w:rsidRDefault="00555396" w:rsidP="003651FF">
            <w:pPr>
              <w:spacing w:after="160" w:line="259" w:lineRule="auto"/>
              <w:rPr>
                <w:rFonts w:ascii="Arial" w:hAnsi="Arial" w:cs="Arial"/>
                <w:bCs/>
              </w:rPr>
            </w:pPr>
            <w:r>
              <w:rPr>
                <w:rFonts w:ascii="Arial" w:hAnsi="Arial" w:cs="Arial"/>
                <w:bCs/>
              </w:rPr>
              <w:t xml:space="preserve">Grosse Anlagen 1'000 – 10'000 kW, </w:t>
            </w:r>
            <w:r>
              <w:rPr>
                <w:rFonts w:ascii="Arial" w:hAnsi="Arial" w:cs="Arial"/>
                <w:bCs/>
              </w:rPr>
              <w:br/>
              <w:t>in 2. Priorität ev. auch grösser</w:t>
            </w:r>
          </w:p>
        </w:tc>
        <w:tc>
          <w:tcPr>
            <w:tcW w:w="2465" w:type="dxa"/>
          </w:tcPr>
          <w:p w14:paraId="661E2B44" w14:textId="77777777" w:rsidR="00555396" w:rsidRDefault="00555396" w:rsidP="003651FF">
            <w:pPr>
              <w:spacing w:after="160" w:line="259" w:lineRule="auto"/>
              <w:rPr>
                <w:rFonts w:ascii="Arial" w:hAnsi="Arial" w:cs="Arial"/>
                <w:bCs/>
              </w:rPr>
            </w:pPr>
            <w:r>
              <w:rPr>
                <w:rFonts w:ascii="Arial" w:hAnsi="Arial" w:cs="Arial"/>
                <w:bCs/>
              </w:rPr>
              <w:t>Grosse Anlagen bis 10'000 kW, in 2. Priorität ev. auch grösser</w:t>
            </w:r>
          </w:p>
        </w:tc>
      </w:tr>
      <w:tr w:rsidR="00555396" w14:paraId="69184621" w14:textId="77777777" w:rsidTr="003651FF">
        <w:tc>
          <w:tcPr>
            <w:tcW w:w="1808" w:type="dxa"/>
          </w:tcPr>
          <w:p w14:paraId="669BF46E" w14:textId="77777777" w:rsidR="00555396" w:rsidRDefault="00555396" w:rsidP="003651FF">
            <w:pPr>
              <w:spacing w:after="160" w:line="259" w:lineRule="auto"/>
              <w:rPr>
                <w:rFonts w:ascii="Arial" w:hAnsi="Arial" w:cs="Arial"/>
                <w:bCs/>
              </w:rPr>
            </w:pPr>
            <w:r>
              <w:rPr>
                <w:rFonts w:ascii="Arial" w:hAnsi="Arial" w:cs="Arial"/>
                <w:bCs/>
              </w:rPr>
              <w:t>Neue Biomasse</w:t>
            </w:r>
          </w:p>
          <w:p w14:paraId="07FD1E5E" w14:textId="77777777" w:rsidR="00555396" w:rsidRDefault="00555396" w:rsidP="003651FF">
            <w:pPr>
              <w:spacing w:after="160" w:line="259" w:lineRule="auto"/>
              <w:rPr>
                <w:rFonts w:ascii="Arial" w:hAnsi="Arial" w:cs="Arial"/>
                <w:bCs/>
              </w:rPr>
            </w:pPr>
            <w:r>
              <w:rPr>
                <w:rFonts w:ascii="Arial" w:hAnsi="Arial" w:cs="Arial"/>
                <w:bCs/>
              </w:rPr>
              <w:t>z.B. Pferdemist</w:t>
            </w:r>
          </w:p>
        </w:tc>
        <w:tc>
          <w:tcPr>
            <w:tcW w:w="2467" w:type="dxa"/>
          </w:tcPr>
          <w:p w14:paraId="1482C009" w14:textId="77777777" w:rsidR="00555396" w:rsidRDefault="00555396" w:rsidP="003651FF">
            <w:pPr>
              <w:spacing w:after="160" w:line="259" w:lineRule="auto"/>
              <w:rPr>
                <w:rFonts w:ascii="Arial" w:hAnsi="Arial" w:cs="Arial"/>
                <w:bCs/>
              </w:rPr>
            </w:pPr>
            <w:r>
              <w:rPr>
                <w:rFonts w:ascii="Arial" w:hAnsi="Arial" w:cs="Arial"/>
                <w:bCs/>
              </w:rPr>
              <w:t>---</w:t>
            </w:r>
          </w:p>
        </w:tc>
        <w:tc>
          <w:tcPr>
            <w:tcW w:w="2469" w:type="dxa"/>
          </w:tcPr>
          <w:p w14:paraId="770DE279" w14:textId="77777777" w:rsidR="00555396" w:rsidRDefault="00555396" w:rsidP="003651FF">
            <w:pPr>
              <w:spacing w:after="160" w:line="259" w:lineRule="auto"/>
              <w:rPr>
                <w:rFonts w:ascii="Arial" w:hAnsi="Arial" w:cs="Arial"/>
                <w:bCs/>
              </w:rPr>
            </w:pPr>
            <w:r>
              <w:rPr>
                <w:rFonts w:ascii="Arial" w:hAnsi="Arial" w:cs="Arial"/>
                <w:bCs/>
              </w:rPr>
              <w:t>---</w:t>
            </w:r>
          </w:p>
        </w:tc>
        <w:tc>
          <w:tcPr>
            <w:tcW w:w="2465" w:type="dxa"/>
          </w:tcPr>
          <w:p w14:paraId="6AB6278D" w14:textId="77777777" w:rsidR="00555396" w:rsidRDefault="00555396" w:rsidP="003651FF">
            <w:pPr>
              <w:spacing w:after="160" w:line="259" w:lineRule="auto"/>
              <w:rPr>
                <w:rFonts w:ascii="Arial" w:hAnsi="Arial" w:cs="Arial"/>
                <w:bCs/>
              </w:rPr>
            </w:pPr>
            <w:r>
              <w:rPr>
                <w:rFonts w:ascii="Arial" w:hAnsi="Arial" w:cs="Arial"/>
                <w:bCs/>
              </w:rPr>
              <w:t xml:space="preserve">Grosse Anlagen 300 – 10'000 kW </w:t>
            </w:r>
          </w:p>
        </w:tc>
      </w:tr>
    </w:tbl>
    <w:p w14:paraId="63474E22" w14:textId="77777777" w:rsidR="00555396" w:rsidRDefault="00555396" w:rsidP="00555396">
      <w:pPr>
        <w:spacing w:after="160" w:line="259" w:lineRule="auto"/>
        <w:rPr>
          <w:rFonts w:ascii="Arial" w:hAnsi="Arial" w:cs="Arial"/>
          <w:bCs/>
        </w:rPr>
      </w:pPr>
      <w:r>
        <w:rPr>
          <w:rFonts w:ascii="Arial" w:hAnsi="Arial" w:cs="Arial"/>
          <w:bCs/>
        </w:rPr>
        <w:t xml:space="preserve">EFH = Einfamilienhäuser; MFH = Mehrfamilienhäuser </w:t>
      </w:r>
    </w:p>
    <w:p w14:paraId="32C24E0D" w14:textId="77777777" w:rsidR="00555396" w:rsidRDefault="00555396">
      <w:pPr>
        <w:spacing w:after="160" w:line="259" w:lineRule="auto"/>
        <w:rPr>
          <w:rFonts w:ascii="Arial" w:hAnsi="Arial" w:cs="Arial"/>
          <w:bCs/>
        </w:rPr>
      </w:pPr>
    </w:p>
    <w:p w14:paraId="769069F6" w14:textId="4DEA0C7E" w:rsidR="009E5324" w:rsidRDefault="009E5324">
      <w:pPr>
        <w:spacing w:after="160" w:line="259" w:lineRule="auto"/>
        <w:rPr>
          <w:rFonts w:ascii="Arial" w:hAnsi="Arial" w:cs="Arial"/>
          <w:bCs/>
        </w:rPr>
      </w:pPr>
    </w:p>
    <w:p w14:paraId="26EE1D3C" w14:textId="77777777" w:rsidR="004F5BEB" w:rsidRDefault="004F5BEB">
      <w:pPr>
        <w:spacing w:after="160" w:line="259" w:lineRule="auto"/>
        <w:rPr>
          <w:rFonts w:ascii="Arial" w:hAnsi="Arial" w:cs="Arial"/>
          <w:bCs/>
        </w:rPr>
      </w:pPr>
    </w:p>
    <w:p w14:paraId="6F9F65D7" w14:textId="77777777" w:rsidR="006F21B2" w:rsidRPr="004137E7"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137E7">
        <w:rPr>
          <w:rFonts w:ascii="Arial" w:hAnsi="Arial" w:cs="Arial"/>
          <w:b/>
        </w:rPr>
        <w:lastRenderedPageBreak/>
        <w:t>Über Holzenergie Schweiz</w:t>
      </w:r>
    </w:p>
    <w:p w14:paraId="5112DE25" w14:textId="77777777" w:rsidR="006F21B2" w:rsidRPr="004137E7"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137E7">
        <w:rPr>
          <w:rFonts w:ascii="Arial" w:hAnsi="Arial" w:cs="Arial"/>
        </w:rPr>
        <w:t xml:space="preserve">Der Branchenverband Holzenergie Schweiz betreibt seit </w:t>
      </w:r>
      <w:r>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Pr>
          <w:rFonts w:ascii="Arial" w:hAnsi="Arial" w:cs="Arial"/>
        </w:rPr>
        <w:t xml:space="preserve"> www.holzenergie.ch</w:t>
      </w:r>
    </w:p>
    <w:p w14:paraId="24CAA19F" w14:textId="77777777" w:rsidR="00833DB0" w:rsidRDefault="00833DB0" w:rsidP="00833DB0">
      <w:pPr>
        <w:spacing w:after="0" w:line="240" w:lineRule="auto"/>
        <w:rPr>
          <w:rFonts w:ascii="Arial" w:hAnsi="Arial" w:cs="Arial"/>
          <w:i/>
          <w:sz w:val="20"/>
        </w:rPr>
      </w:pPr>
    </w:p>
    <w:p w14:paraId="14004686" w14:textId="1B1F8F56" w:rsidR="00833DB0" w:rsidRPr="00833DB0" w:rsidRDefault="00833DB0" w:rsidP="00833DB0">
      <w:pPr>
        <w:spacing w:after="0" w:line="240" w:lineRule="auto"/>
        <w:rPr>
          <w:rFonts w:ascii="Arial" w:hAnsi="Arial" w:cs="Arial"/>
          <w:i/>
          <w:sz w:val="20"/>
        </w:rPr>
      </w:pPr>
      <w:r w:rsidRPr="00833DB0">
        <w:rPr>
          <w:rFonts w:ascii="Arial" w:hAnsi="Arial" w:cs="Arial"/>
          <w:i/>
          <w:sz w:val="20"/>
        </w:rPr>
        <w:t>Autor:</w:t>
      </w:r>
    </w:p>
    <w:p w14:paraId="699E473D"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 xml:space="preserve">Christoph Rutschmann </w:t>
      </w:r>
    </w:p>
    <w:p w14:paraId="781FD0B7"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Im Auftrag von Holzenergie Schweiz</w:t>
      </w:r>
    </w:p>
    <w:p w14:paraId="7796E959"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Neugasse 10</w:t>
      </w:r>
    </w:p>
    <w:p w14:paraId="7382F8A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8005 Zürich</w:t>
      </w:r>
    </w:p>
    <w:p w14:paraId="028B4D6F" w14:textId="5AF96CC8" w:rsidR="00833DB0" w:rsidRPr="00833DB0" w:rsidRDefault="005129B2" w:rsidP="00833DB0">
      <w:pPr>
        <w:spacing w:after="0" w:line="240" w:lineRule="auto"/>
        <w:rPr>
          <w:rFonts w:ascii="Arial" w:hAnsi="Arial" w:cs="Arial"/>
          <w:i/>
          <w:sz w:val="20"/>
        </w:rPr>
      </w:pPr>
      <w:r>
        <w:rPr>
          <w:rFonts w:ascii="Arial" w:hAnsi="Arial" w:cs="Arial"/>
          <w:i/>
          <w:sz w:val="20"/>
        </w:rPr>
        <w:t>Tel</w:t>
      </w:r>
      <w:r w:rsidR="00833DB0" w:rsidRPr="00833DB0">
        <w:rPr>
          <w:rFonts w:ascii="Arial" w:hAnsi="Arial" w:cs="Arial"/>
          <w:i/>
          <w:sz w:val="20"/>
        </w:rPr>
        <w:t>: 044 250 88 11</w:t>
      </w:r>
    </w:p>
    <w:p w14:paraId="3526588B"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2310A7B7" w14:textId="3CD51AF1" w:rsidR="006F21B2" w:rsidRDefault="006F21B2" w:rsidP="00442798">
      <w:pPr>
        <w:spacing w:after="0"/>
        <w:rPr>
          <w:rFonts w:ascii="Arial" w:hAnsi="Arial" w:cs="Arial"/>
          <w:b/>
          <w:i/>
          <w:sz w:val="20"/>
        </w:rPr>
      </w:pPr>
      <w:r w:rsidRPr="007A3AC6">
        <w:rPr>
          <w:rFonts w:ascii="Arial" w:hAnsi="Arial" w:cs="Arial"/>
          <w:b/>
          <w:i/>
          <w:sz w:val="20"/>
        </w:rPr>
        <w:t>Bild</w:t>
      </w:r>
      <w:r w:rsidR="006C081B">
        <w:rPr>
          <w:rFonts w:ascii="Arial" w:hAnsi="Arial" w:cs="Arial"/>
          <w:b/>
          <w:i/>
          <w:sz w:val="20"/>
        </w:rPr>
        <w:t>er</w:t>
      </w:r>
    </w:p>
    <w:tbl>
      <w:tblPr>
        <w:tblStyle w:val="Tabellenraster"/>
        <w:tblW w:w="9606" w:type="dxa"/>
        <w:tblLook w:val="04A0" w:firstRow="1" w:lastRow="0" w:firstColumn="1" w:lastColumn="0" w:noHBand="0" w:noVBand="1"/>
      </w:tblPr>
      <w:tblGrid>
        <w:gridCol w:w="2301"/>
        <w:gridCol w:w="7305"/>
      </w:tblGrid>
      <w:tr w:rsidR="002C79D3" w14:paraId="7BB1EEDE" w14:textId="77777777" w:rsidTr="006B16F0">
        <w:tc>
          <w:tcPr>
            <w:tcW w:w="2301" w:type="dxa"/>
          </w:tcPr>
          <w:p w14:paraId="42397B91" w14:textId="04ED4DC9" w:rsidR="002C79D3" w:rsidRPr="002C79D3" w:rsidRDefault="002C79D3" w:rsidP="002C79D3">
            <w:pPr>
              <w:spacing w:after="40"/>
              <w:rPr>
                <w:rFonts w:ascii="Arial" w:hAnsi="Arial" w:cs="Arial"/>
                <w:i/>
                <w:sz w:val="20"/>
              </w:rPr>
            </w:pPr>
            <w:r>
              <w:rPr>
                <w:noProof/>
              </w:rPr>
              <w:drawing>
                <wp:inline distT="0" distB="0" distL="0" distR="0" wp14:anchorId="0630564F" wp14:editId="4A7BA81D">
                  <wp:extent cx="1323975" cy="88067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221" cy="886829"/>
                          </a:xfrm>
                          <a:prstGeom prst="rect">
                            <a:avLst/>
                          </a:prstGeom>
                        </pic:spPr>
                      </pic:pic>
                    </a:graphicData>
                  </a:graphic>
                </wp:inline>
              </w:drawing>
            </w:r>
          </w:p>
        </w:tc>
        <w:tc>
          <w:tcPr>
            <w:tcW w:w="7305" w:type="dxa"/>
          </w:tcPr>
          <w:p w14:paraId="32464564" w14:textId="77777777" w:rsidR="00EB55E3" w:rsidRDefault="00EB55E3" w:rsidP="00D56726">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4CE0CD64" w14:textId="77777777" w:rsidR="00EB55E3" w:rsidRDefault="00EB55E3" w:rsidP="00D56726">
            <w:pPr>
              <w:spacing w:after="40"/>
              <w:rPr>
                <w:rFonts w:ascii="Arial" w:hAnsi="Arial" w:cs="Arial"/>
                <w:i/>
                <w:sz w:val="20"/>
              </w:rPr>
            </w:pPr>
          </w:p>
          <w:p w14:paraId="67345AC7" w14:textId="6C962FC7" w:rsidR="00EB55E3" w:rsidRDefault="009678A4" w:rsidP="00D56726">
            <w:pPr>
              <w:spacing w:after="40"/>
              <w:rPr>
                <w:rFonts w:ascii="Arial" w:hAnsi="Arial" w:cs="Arial"/>
                <w:i/>
                <w:sz w:val="20"/>
              </w:rPr>
            </w:pPr>
            <w:r>
              <w:rPr>
                <w:rFonts w:ascii="Arial" w:hAnsi="Arial" w:cs="Arial"/>
                <w:i/>
                <w:sz w:val="20"/>
              </w:rPr>
              <w:t>Stückholz</w:t>
            </w:r>
            <w:r w:rsidR="004A35E6">
              <w:rPr>
                <w:rFonts w:ascii="Arial" w:hAnsi="Arial" w:cs="Arial"/>
                <w:i/>
                <w:sz w:val="20"/>
              </w:rPr>
              <w:t>: Einheimische Wärme für 500'000</w:t>
            </w:r>
            <w:r w:rsidR="002C79D3">
              <w:rPr>
                <w:rFonts w:ascii="Arial" w:hAnsi="Arial" w:cs="Arial"/>
                <w:i/>
                <w:sz w:val="20"/>
              </w:rPr>
              <w:t xml:space="preserve"> Stuben</w:t>
            </w:r>
          </w:p>
          <w:p w14:paraId="464B844A" w14:textId="77777777" w:rsidR="00197A52" w:rsidRDefault="00197A52" w:rsidP="00D56726">
            <w:pPr>
              <w:spacing w:after="40"/>
              <w:rPr>
                <w:rFonts w:ascii="Arial" w:hAnsi="Arial" w:cs="Arial"/>
                <w:i/>
                <w:sz w:val="20"/>
              </w:rPr>
            </w:pPr>
          </w:p>
          <w:p w14:paraId="291091B1" w14:textId="3A115736" w:rsidR="00EB55E3" w:rsidRPr="00F06423" w:rsidRDefault="00197A52" w:rsidP="00D56726">
            <w:pPr>
              <w:spacing w:after="40"/>
              <w:rPr>
                <w:rFonts w:ascii="Arial" w:hAnsi="Arial" w:cs="Arial"/>
                <w:i/>
                <w:sz w:val="20"/>
              </w:rPr>
            </w:pPr>
            <w:r>
              <w:rPr>
                <w:rFonts w:ascii="Arial" w:hAnsi="Arial" w:cs="Arial"/>
                <w:i/>
                <w:sz w:val="20"/>
              </w:rPr>
              <w:t xml:space="preserve">Bildquelle: Christoph Rutschmann, Holzenergie Schweiz  </w:t>
            </w:r>
          </w:p>
        </w:tc>
      </w:tr>
      <w:tr w:rsidR="002C79D3" w14:paraId="3FC0B0EA" w14:textId="77777777" w:rsidTr="006B16F0">
        <w:tc>
          <w:tcPr>
            <w:tcW w:w="2301" w:type="dxa"/>
          </w:tcPr>
          <w:p w14:paraId="7CEABAD4" w14:textId="117A27A7" w:rsidR="00347BAE" w:rsidRDefault="002C79D3" w:rsidP="00F13D27">
            <w:pPr>
              <w:spacing w:after="40"/>
              <w:rPr>
                <w:rFonts w:ascii="Arial" w:hAnsi="Arial" w:cs="Arial"/>
                <w:i/>
                <w:sz w:val="20"/>
              </w:rPr>
            </w:pPr>
            <w:r>
              <w:rPr>
                <w:noProof/>
              </w:rPr>
              <w:drawing>
                <wp:inline distT="0" distB="0" distL="0" distR="0" wp14:anchorId="164FFACD" wp14:editId="757E8B14">
                  <wp:extent cx="1323975" cy="90803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30347" cy="912406"/>
                          </a:xfrm>
                          <a:prstGeom prst="rect">
                            <a:avLst/>
                          </a:prstGeom>
                        </pic:spPr>
                      </pic:pic>
                    </a:graphicData>
                  </a:graphic>
                </wp:inline>
              </w:drawing>
            </w:r>
          </w:p>
        </w:tc>
        <w:tc>
          <w:tcPr>
            <w:tcW w:w="7305" w:type="dxa"/>
          </w:tcPr>
          <w:p w14:paraId="540E5AAA" w14:textId="77777777" w:rsidR="00347BAE" w:rsidRDefault="00347BAE" w:rsidP="00F13D2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45B90B24" w14:textId="77777777" w:rsidR="00347BAE" w:rsidRDefault="00347BAE" w:rsidP="00F13D27">
            <w:pPr>
              <w:spacing w:after="40"/>
              <w:rPr>
                <w:rFonts w:ascii="Arial" w:hAnsi="Arial" w:cs="Arial"/>
                <w:i/>
                <w:sz w:val="20"/>
              </w:rPr>
            </w:pPr>
          </w:p>
          <w:p w14:paraId="66ED46AF" w14:textId="77777777" w:rsidR="00347BAE" w:rsidRDefault="00347BAE" w:rsidP="00F13D27">
            <w:pPr>
              <w:spacing w:after="40"/>
              <w:rPr>
                <w:rFonts w:ascii="Arial" w:hAnsi="Arial" w:cs="Arial"/>
                <w:i/>
                <w:sz w:val="20"/>
              </w:rPr>
            </w:pPr>
            <w:r>
              <w:rPr>
                <w:rFonts w:ascii="Arial" w:hAnsi="Arial" w:cs="Arial"/>
                <w:i/>
                <w:sz w:val="20"/>
              </w:rPr>
              <w:t>Holzhackschnitzel: Ideale Energiequelle für mittlere und grössere Heizungen</w:t>
            </w:r>
          </w:p>
          <w:p w14:paraId="37BD82EA" w14:textId="77777777" w:rsidR="00347BAE" w:rsidRDefault="00347BAE" w:rsidP="00F13D27">
            <w:pPr>
              <w:spacing w:after="40"/>
              <w:rPr>
                <w:rFonts w:ascii="Arial" w:hAnsi="Arial" w:cs="Arial"/>
                <w:i/>
                <w:sz w:val="20"/>
              </w:rPr>
            </w:pPr>
          </w:p>
          <w:p w14:paraId="7C540E97" w14:textId="77777777" w:rsidR="00347BAE" w:rsidRPr="00F06423" w:rsidRDefault="00347BAE" w:rsidP="00F13D27">
            <w:pPr>
              <w:spacing w:after="40"/>
              <w:rPr>
                <w:rFonts w:ascii="Arial" w:hAnsi="Arial" w:cs="Arial"/>
                <w:i/>
                <w:sz w:val="20"/>
              </w:rPr>
            </w:pPr>
            <w:r>
              <w:rPr>
                <w:rFonts w:ascii="Arial" w:hAnsi="Arial" w:cs="Arial"/>
                <w:i/>
                <w:sz w:val="20"/>
              </w:rPr>
              <w:t xml:space="preserve">Bildquelle: Christoph Rutschmann, Holzenergie Schweiz  </w:t>
            </w:r>
          </w:p>
        </w:tc>
      </w:tr>
      <w:tr w:rsidR="002C79D3" w14:paraId="6BCF0F0A" w14:textId="77777777" w:rsidTr="006B16F0">
        <w:tc>
          <w:tcPr>
            <w:tcW w:w="2301" w:type="dxa"/>
          </w:tcPr>
          <w:p w14:paraId="5E4FD6CD" w14:textId="21EBAB17" w:rsidR="00347BAE" w:rsidRDefault="001B1CC0" w:rsidP="00F13D27">
            <w:pPr>
              <w:spacing w:after="40"/>
              <w:rPr>
                <w:rFonts w:ascii="Arial" w:hAnsi="Arial" w:cs="Arial"/>
                <w:i/>
                <w:sz w:val="20"/>
              </w:rPr>
            </w:pPr>
            <w:r>
              <w:rPr>
                <w:noProof/>
              </w:rPr>
              <w:drawing>
                <wp:inline distT="0" distB="0" distL="0" distR="0" wp14:anchorId="690F6713" wp14:editId="086C5B98">
                  <wp:extent cx="1316652" cy="872837"/>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0520" cy="882031"/>
                          </a:xfrm>
                          <a:prstGeom prst="rect">
                            <a:avLst/>
                          </a:prstGeom>
                        </pic:spPr>
                      </pic:pic>
                    </a:graphicData>
                  </a:graphic>
                </wp:inline>
              </w:drawing>
            </w:r>
          </w:p>
        </w:tc>
        <w:tc>
          <w:tcPr>
            <w:tcW w:w="7305" w:type="dxa"/>
          </w:tcPr>
          <w:p w14:paraId="37F04F7D" w14:textId="77777777" w:rsidR="00347BAE" w:rsidRDefault="00347BAE" w:rsidP="00F13D2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19264029" w14:textId="77777777" w:rsidR="00347BAE" w:rsidRDefault="00347BAE" w:rsidP="00F13D27">
            <w:pPr>
              <w:spacing w:after="40"/>
              <w:rPr>
                <w:rFonts w:ascii="Arial" w:hAnsi="Arial" w:cs="Arial"/>
                <w:i/>
                <w:sz w:val="20"/>
              </w:rPr>
            </w:pPr>
          </w:p>
          <w:p w14:paraId="6B781EE3" w14:textId="5C669DC5" w:rsidR="00347BAE" w:rsidRDefault="00347BAE" w:rsidP="00F13D27">
            <w:pPr>
              <w:spacing w:after="40"/>
              <w:rPr>
                <w:rFonts w:ascii="Arial" w:hAnsi="Arial" w:cs="Arial"/>
                <w:i/>
                <w:sz w:val="20"/>
              </w:rPr>
            </w:pPr>
            <w:r>
              <w:rPr>
                <w:rFonts w:ascii="Arial" w:hAnsi="Arial" w:cs="Arial"/>
                <w:i/>
                <w:sz w:val="20"/>
              </w:rPr>
              <w:t>Pellets: Geeignet für kleinere und mittlere Heizungen</w:t>
            </w:r>
          </w:p>
          <w:p w14:paraId="7A45DAEE" w14:textId="77777777" w:rsidR="00347BAE" w:rsidRDefault="00347BAE" w:rsidP="00F13D27">
            <w:pPr>
              <w:spacing w:after="40"/>
              <w:rPr>
                <w:rFonts w:ascii="Arial" w:hAnsi="Arial" w:cs="Arial"/>
                <w:i/>
                <w:sz w:val="20"/>
              </w:rPr>
            </w:pPr>
          </w:p>
          <w:p w14:paraId="64ECCF06" w14:textId="77777777" w:rsidR="00347BAE" w:rsidRPr="00F06423" w:rsidRDefault="00347BAE" w:rsidP="00F13D27">
            <w:pPr>
              <w:spacing w:after="40"/>
              <w:rPr>
                <w:rFonts w:ascii="Arial" w:hAnsi="Arial" w:cs="Arial"/>
                <w:i/>
                <w:sz w:val="20"/>
              </w:rPr>
            </w:pPr>
            <w:r>
              <w:rPr>
                <w:rFonts w:ascii="Arial" w:hAnsi="Arial" w:cs="Arial"/>
                <w:i/>
                <w:sz w:val="20"/>
              </w:rPr>
              <w:t xml:space="preserve">Bildquelle: Christoph Rutschmann, Holzenergie Schweiz  </w:t>
            </w:r>
          </w:p>
        </w:tc>
      </w:tr>
      <w:tr w:rsidR="006B16F0" w14:paraId="3411F6F7" w14:textId="77777777" w:rsidTr="006B16F0">
        <w:tc>
          <w:tcPr>
            <w:tcW w:w="2301" w:type="dxa"/>
          </w:tcPr>
          <w:p w14:paraId="60A99ECB" w14:textId="77777777" w:rsidR="006B16F0" w:rsidRDefault="006B16F0" w:rsidP="00A720D4">
            <w:pPr>
              <w:spacing w:after="40"/>
              <w:rPr>
                <w:rFonts w:ascii="Arial" w:hAnsi="Arial" w:cs="Arial"/>
                <w:i/>
                <w:sz w:val="20"/>
              </w:rPr>
            </w:pPr>
            <w:r>
              <w:rPr>
                <w:noProof/>
              </w:rPr>
              <w:drawing>
                <wp:inline distT="0" distB="0" distL="0" distR="0" wp14:anchorId="303C3880" wp14:editId="11504704">
                  <wp:extent cx="1323975" cy="956204"/>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43309" cy="970168"/>
                          </a:xfrm>
                          <a:prstGeom prst="rect">
                            <a:avLst/>
                          </a:prstGeom>
                        </pic:spPr>
                      </pic:pic>
                    </a:graphicData>
                  </a:graphic>
                </wp:inline>
              </w:drawing>
            </w:r>
          </w:p>
        </w:tc>
        <w:tc>
          <w:tcPr>
            <w:tcW w:w="7305" w:type="dxa"/>
          </w:tcPr>
          <w:p w14:paraId="663DC9DB" w14:textId="77777777" w:rsidR="006B16F0" w:rsidRDefault="006B16F0" w:rsidP="00A720D4">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6B75B6EA" w14:textId="77777777" w:rsidR="006B16F0" w:rsidRDefault="006B16F0" w:rsidP="00A720D4">
            <w:pPr>
              <w:spacing w:after="40"/>
              <w:rPr>
                <w:rFonts w:ascii="Arial" w:hAnsi="Arial" w:cs="Arial"/>
                <w:i/>
                <w:sz w:val="20"/>
              </w:rPr>
            </w:pPr>
          </w:p>
          <w:p w14:paraId="1DF71F7A" w14:textId="77777777" w:rsidR="006B16F0" w:rsidRDefault="006B16F0" w:rsidP="00A720D4">
            <w:pPr>
              <w:spacing w:after="40"/>
              <w:rPr>
                <w:rFonts w:ascii="Arial" w:hAnsi="Arial" w:cs="Arial"/>
                <w:i/>
                <w:sz w:val="20"/>
              </w:rPr>
            </w:pPr>
            <w:r>
              <w:rPr>
                <w:rFonts w:ascii="Arial" w:hAnsi="Arial" w:cs="Arial"/>
                <w:i/>
                <w:sz w:val="20"/>
              </w:rPr>
              <w:t xml:space="preserve">Altholz: Noch werden grosse Mengen exportiert </w:t>
            </w:r>
          </w:p>
          <w:p w14:paraId="2C7F5786" w14:textId="77777777" w:rsidR="006B16F0" w:rsidRDefault="006B16F0" w:rsidP="00A720D4">
            <w:pPr>
              <w:spacing w:after="40"/>
              <w:rPr>
                <w:rFonts w:ascii="Arial" w:hAnsi="Arial" w:cs="Arial"/>
                <w:i/>
                <w:sz w:val="20"/>
              </w:rPr>
            </w:pPr>
          </w:p>
          <w:p w14:paraId="2C4D7F1B" w14:textId="77777777" w:rsidR="006B16F0" w:rsidRPr="00F06423" w:rsidRDefault="006B16F0" w:rsidP="00A720D4">
            <w:pPr>
              <w:spacing w:after="40"/>
              <w:rPr>
                <w:rFonts w:ascii="Arial" w:hAnsi="Arial" w:cs="Arial"/>
                <w:i/>
                <w:sz w:val="20"/>
              </w:rPr>
            </w:pPr>
            <w:r>
              <w:rPr>
                <w:rFonts w:ascii="Arial" w:hAnsi="Arial" w:cs="Arial"/>
                <w:i/>
                <w:sz w:val="20"/>
              </w:rPr>
              <w:t xml:space="preserve">Bildquelle: Christoph Rutschmann, Holzenergie Schweiz  </w:t>
            </w:r>
          </w:p>
        </w:tc>
      </w:tr>
    </w:tbl>
    <w:p w14:paraId="1FFA91AB" w14:textId="77777777" w:rsidR="00C119D5" w:rsidRPr="007A3AC6" w:rsidRDefault="00C119D5" w:rsidP="00D34A9C">
      <w:pPr>
        <w:spacing w:after="0" w:line="240" w:lineRule="auto"/>
        <w:rPr>
          <w:rFonts w:ascii="Arial" w:hAnsi="Arial" w:cs="Arial"/>
          <w:sz w:val="20"/>
        </w:rPr>
      </w:pPr>
    </w:p>
    <w:sectPr w:rsidR="00C119D5" w:rsidRPr="007A3AC6" w:rsidSect="00CA6597">
      <w:headerReference w:type="default" r:id="rId11"/>
      <w:footerReference w:type="default" r:id="rId12"/>
      <w:headerReference w:type="first" r:id="rId13"/>
      <w:footerReference w:type="first" r:id="rId14"/>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62C7" w14:textId="77777777" w:rsidR="00C5024C" w:rsidRDefault="00C5024C" w:rsidP="006F21B2">
      <w:pPr>
        <w:spacing w:after="0" w:line="240" w:lineRule="auto"/>
      </w:pPr>
      <w:r>
        <w:separator/>
      </w:r>
    </w:p>
  </w:endnote>
  <w:endnote w:type="continuationSeparator" w:id="0">
    <w:p w14:paraId="4DE55F35" w14:textId="77777777" w:rsidR="00C5024C" w:rsidRDefault="00C5024C"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00000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00000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7987" w14:textId="77777777" w:rsidR="00C5024C" w:rsidRDefault="00C5024C" w:rsidP="006F21B2">
      <w:pPr>
        <w:spacing w:after="0" w:line="240" w:lineRule="auto"/>
      </w:pPr>
      <w:r>
        <w:separator/>
      </w:r>
    </w:p>
  </w:footnote>
  <w:footnote w:type="continuationSeparator" w:id="0">
    <w:p w14:paraId="496C45D4" w14:textId="77777777" w:rsidR="00C5024C" w:rsidRDefault="00C5024C"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000000">
    <w:pPr>
      <w:pStyle w:val="Kopfzeile"/>
      <w:rPr>
        <w:spacing w:val="1"/>
        <w:sz w:val="17"/>
      </w:rPr>
    </w:pPr>
  </w:p>
  <w:p w14:paraId="54521666" w14:textId="77777777" w:rsidR="006907C0" w:rsidRDefault="00000000">
    <w:pPr>
      <w:pStyle w:val="Kopfzeile"/>
      <w:rPr>
        <w:spacing w:val="1"/>
        <w:sz w:val="17"/>
      </w:rPr>
    </w:pPr>
  </w:p>
  <w:p w14:paraId="6C323340" w14:textId="77777777" w:rsidR="007C40F6" w:rsidRDefault="0000000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00000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00000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00000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10B24"/>
    <w:rsid w:val="00013E4F"/>
    <w:rsid w:val="00016707"/>
    <w:rsid w:val="00021991"/>
    <w:rsid w:val="0002408E"/>
    <w:rsid w:val="000372D5"/>
    <w:rsid w:val="00043AD1"/>
    <w:rsid w:val="00051E2A"/>
    <w:rsid w:val="00053B3F"/>
    <w:rsid w:val="000602F9"/>
    <w:rsid w:val="00063D1A"/>
    <w:rsid w:val="0007368B"/>
    <w:rsid w:val="00075F3B"/>
    <w:rsid w:val="00085EE0"/>
    <w:rsid w:val="000913B7"/>
    <w:rsid w:val="00095307"/>
    <w:rsid w:val="00096086"/>
    <w:rsid w:val="000A2788"/>
    <w:rsid w:val="000D5BEA"/>
    <w:rsid w:val="000D5D3A"/>
    <w:rsid w:val="000D6D86"/>
    <w:rsid w:val="000E14AA"/>
    <w:rsid w:val="000E302E"/>
    <w:rsid w:val="000E324A"/>
    <w:rsid w:val="000F3FFD"/>
    <w:rsid w:val="000F7D28"/>
    <w:rsid w:val="001049EE"/>
    <w:rsid w:val="00117463"/>
    <w:rsid w:val="00120A7D"/>
    <w:rsid w:val="00120D63"/>
    <w:rsid w:val="00135FB3"/>
    <w:rsid w:val="00141D16"/>
    <w:rsid w:val="00157E99"/>
    <w:rsid w:val="00161DAE"/>
    <w:rsid w:val="001653F8"/>
    <w:rsid w:val="00165E5D"/>
    <w:rsid w:val="00170833"/>
    <w:rsid w:val="00176E77"/>
    <w:rsid w:val="00182053"/>
    <w:rsid w:val="00186125"/>
    <w:rsid w:val="00186924"/>
    <w:rsid w:val="001903EF"/>
    <w:rsid w:val="001922FE"/>
    <w:rsid w:val="001940F9"/>
    <w:rsid w:val="00195512"/>
    <w:rsid w:val="00197A52"/>
    <w:rsid w:val="001A0FEC"/>
    <w:rsid w:val="001A11B4"/>
    <w:rsid w:val="001A20A0"/>
    <w:rsid w:val="001A3916"/>
    <w:rsid w:val="001B1CC0"/>
    <w:rsid w:val="001B2423"/>
    <w:rsid w:val="001C1FF3"/>
    <w:rsid w:val="001C374E"/>
    <w:rsid w:val="001C402C"/>
    <w:rsid w:val="001C5AF8"/>
    <w:rsid w:val="001C7BDF"/>
    <w:rsid w:val="001D52B5"/>
    <w:rsid w:val="001D5931"/>
    <w:rsid w:val="001E043A"/>
    <w:rsid w:val="001E35A5"/>
    <w:rsid w:val="001E5271"/>
    <w:rsid w:val="001E7B48"/>
    <w:rsid w:val="001F1BC4"/>
    <w:rsid w:val="001F1E08"/>
    <w:rsid w:val="001F6150"/>
    <w:rsid w:val="00201EC7"/>
    <w:rsid w:val="00206056"/>
    <w:rsid w:val="00210034"/>
    <w:rsid w:val="00214E56"/>
    <w:rsid w:val="002235D4"/>
    <w:rsid w:val="002365D2"/>
    <w:rsid w:val="00250A6D"/>
    <w:rsid w:val="00254A13"/>
    <w:rsid w:val="002555E9"/>
    <w:rsid w:val="002820B8"/>
    <w:rsid w:val="00283AD5"/>
    <w:rsid w:val="0028445D"/>
    <w:rsid w:val="00293F39"/>
    <w:rsid w:val="002A0852"/>
    <w:rsid w:val="002A0864"/>
    <w:rsid w:val="002A2D57"/>
    <w:rsid w:val="002A5496"/>
    <w:rsid w:val="002B0102"/>
    <w:rsid w:val="002B4951"/>
    <w:rsid w:val="002C00FB"/>
    <w:rsid w:val="002C2468"/>
    <w:rsid w:val="002C79D3"/>
    <w:rsid w:val="002D3393"/>
    <w:rsid w:val="002D3414"/>
    <w:rsid w:val="002D4D36"/>
    <w:rsid w:val="002D60F0"/>
    <w:rsid w:val="002D625F"/>
    <w:rsid w:val="002E20F8"/>
    <w:rsid w:val="002E4A39"/>
    <w:rsid w:val="002E5E90"/>
    <w:rsid w:val="002E66DC"/>
    <w:rsid w:val="002F059A"/>
    <w:rsid w:val="002F7E2A"/>
    <w:rsid w:val="003052B0"/>
    <w:rsid w:val="0030631B"/>
    <w:rsid w:val="00313B10"/>
    <w:rsid w:val="00325C36"/>
    <w:rsid w:val="0033152C"/>
    <w:rsid w:val="0033230B"/>
    <w:rsid w:val="0033328A"/>
    <w:rsid w:val="00333F78"/>
    <w:rsid w:val="0033419F"/>
    <w:rsid w:val="00337872"/>
    <w:rsid w:val="00347BAE"/>
    <w:rsid w:val="0035129B"/>
    <w:rsid w:val="0035580F"/>
    <w:rsid w:val="00356742"/>
    <w:rsid w:val="00357A2B"/>
    <w:rsid w:val="00360B97"/>
    <w:rsid w:val="00365183"/>
    <w:rsid w:val="003745BD"/>
    <w:rsid w:val="00377AC6"/>
    <w:rsid w:val="00392215"/>
    <w:rsid w:val="003A3551"/>
    <w:rsid w:val="003A5D22"/>
    <w:rsid w:val="003B0F95"/>
    <w:rsid w:val="003B3F93"/>
    <w:rsid w:val="003B78BB"/>
    <w:rsid w:val="003C0505"/>
    <w:rsid w:val="003C27C8"/>
    <w:rsid w:val="003C4C2B"/>
    <w:rsid w:val="003C5BA7"/>
    <w:rsid w:val="003C6631"/>
    <w:rsid w:val="003C753A"/>
    <w:rsid w:val="003C7D68"/>
    <w:rsid w:val="003D1CBB"/>
    <w:rsid w:val="003D5381"/>
    <w:rsid w:val="003D5CF4"/>
    <w:rsid w:val="003E54C8"/>
    <w:rsid w:val="003F1B92"/>
    <w:rsid w:val="003F6A25"/>
    <w:rsid w:val="003F78EE"/>
    <w:rsid w:val="00400EA6"/>
    <w:rsid w:val="00405242"/>
    <w:rsid w:val="00407274"/>
    <w:rsid w:val="00414C31"/>
    <w:rsid w:val="0041616F"/>
    <w:rsid w:val="004211B1"/>
    <w:rsid w:val="00422C3B"/>
    <w:rsid w:val="004279E6"/>
    <w:rsid w:val="004308B2"/>
    <w:rsid w:val="00432179"/>
    <w:rsid w:val="0043315F"/>
    <w:rsid w:val="00442798"/>
    <w:rsid w:val="00444994"/>
    <w:rsid w:val="00446EDF"/>
    <w:rsid w:val="004535F2"/>
    <w:rsid w:val="0045492C"/>
    <w:rsid w:val="0045608C"/>
    <w:rsid w:val="004566AA"/>
    <w:rsid w:val="0045736C"/>
    <w:rsid w:val="0046328F"/>
    <w:rsid w:val="004643A7"/>
    <w:rsid w:val="004870F5"/>
    <w:rsid w:val="00490E52"/>
    <w:rsid w:val="00490F06"/>
    <w:rsid w:val="00494941"/>
    <w:rsid w:val="004A2E7B"/>
    <w:rsid w:val="004A35E6"/>
    <w:rsid w:val="004A3ED5"/>
    <w:rsid w:val="004A4272"/>
    <w:rsid w:val="004A52E8"/>
    <w:rsid w:val="004B2C88"/>
    <w:rsid w:val="004C0826"/>
    <w:rsid w:val="004C590C"/>
    <w:rsid w:val="004C6A63"/>
    <w:rsid w:val="004D061D"/>
    <w:rsid w:val="004D16E9"/>
    <w:rsid w:val="004D4A62"/>
    <w:rsid w:val="004F16C5"/>
    <w:rsid w:val="004F2423"/>
    <w:rsid w:val="004F31D9"/>
    <w:rsid w:val="004F5BEB"/>
    <w:rsid w:val="00510275"/>
    <w:rsid w:val="005129B2"/>
    <w:rsid w:val="00517F83"/>
    <w:rsid w:val="00523193"/>
    <w:rsid w:val="00526A24"/>
    <w:rsid w:val="0054122B"/>
    <w:rsid w:val="005428F3"/>
    <w:rsid w:val="005466D3"/>
    <w:rsid w:val="00555396"/>
    <w:rsid w:val="0055660C"/>
    <w:rsid w:val="00565FA4"/>
    <w:rsid w:val="0057470C"/>
    <w:rsid w:val="00576E77"/>
    <w:rsid w:val="005858CA"/>
    <w:rsid w:val="00585F8E"/>
    <w:rsid w:val="00586933"/>
    <w:rsid w:val="0059507F"/>
    <w:rsid w:val="00597EFD"/>
    <w:rsid w:val="005A2E26"/>
    <w:rsid w:val="005A6D54"/>
    <w:rsid w:val="005B10CE"/>
    <w:rsid w:val="005B4A7C"/>
    <w:rsid w:val="005C0D40"/>
    <w:rsid w:val="005D2E86"/>
    <w:rsid w:val="005D486F"/>
    <w:rsid w:val="005F1BA1"/>
    <w:rsid w:val="00600150"/>
    <w:rsid w:val="00602908"/>
    <w:rsid w:val="006045F9"/>
    <w:rsid w:val="006077CC"/>
    <w:rsid w:val="006103E0"/>
    <w:rsid w:val="006115B1"/>
    <w:rsid w:val="0061417C"/>
    <w:rsid w:val="00616360"/>
    <w:rsid w:val="0062056C"/>
    <w:rsid w:val="006216C3"/>
    <w:rsid w:val="00621FC1"/>
    <w:rsid w:val="00627E2D"/>
    <w:rsid w:val="006312D7"/>
    <w:rsid w:val="00641B97"/>
    <w:rsid w:val="00642CE1"/>
    <w:rsid w:val="0064545F"/>
    <w:rsid w:val="00653B98"/>
    <w:rsid w:val="006572CE"/>
    <w:rsid w:val="00674927"/>
    <w:rsid w:val="006806F2"/>
    <w:rsid w:val="00687E6A"/>
    <w:rsid w:val="00690733"/>
    <w:rsid w:val="00691560"/>
    <w:rsid w:val="006A537A"/>
    <w:rsid w:val="006A631E"/>
    <w:rsid w:val="006A6D07"/>
    <w:rsid w:val="006B16F0"/>
    <w:rsid w:val="006C081B"/>
    <w:rsid w:val="006C6028"/>
    <w:rsid w:val="006D0503"/>
    <w:rsid w:val="006D2490"/>
    <w:rsid w:val="006F035C"/>
    <w:rsid w:val="006F03D3"/>
    <w:rsid w:val="006F21B2"/>
    <w:rsid w:val="006F77C2"/>
    <w:rsid w:val="00702857"/>
    <w:rsid w:val="0071142D"/>
    <w:rsid w:val="00733ACA"/>
    <w:rsid w:val="0074138F"/>
    <w:rsid w:val="00746D73"/>
    <w:rsid w:val="00751D56"/>
    <w:rsid w:val="00752B0E"/>
    <w:rsid w:val="00754FFC"/>
    <w:rsid w:val="00760FC0"/>
    <w:rsid w:val="00762F0D"/>
    <w:rsid w:val="007747C0"/>
    <w:rsid w:val="00776D77"/>
    <w:rsid w:val="00777094"/>
    <w:rsid w:val="007855EC"/>
    <w:rsid w:val="00795038"/>
    <w:rsid w:val="007955C3"/>
    <w:rsid w:val="00795F54"/>
    <w:rsid w:val="007B2EB7"/>
    <w:rsid w:val="007B48AF"/>
    <w:rsid w:val="007B6027"/>
    <w:rsid w:val="007B7B55"/>
    <w:rsid w:val="007C0F6A"/>
    <w:rsid w:val="007C6BE4"/>
    <w:rsid w:val="007D0031"/>
    <w:rsid w:val="007F4401"/>
    <w:rsid w:val="007F50DD"/>
    <w:rsid w:val="007F5868"/>
    <w:rsid w:val="007F59EF"/>
    <w:rsid w:val="007F5B6C"/>
    <w:rsid w:val="007F6488"/>
    <w:rsid w:val="008064D0"/>
    <w:rsid w:val="00807459"/>
    <w:rsid w:val="0082356C"/>
    <w:rsid w:val="008243FF"/>
    <w:rsid w:val="008334CC"/>
    <w:rsid w:val="00833DB0"/>
    <w:rsid w:val="00842962"/>
    <w:rsid w:val="0085599B"/>
    <w:rsid w:val="00856478"/>
    <w:rsid w:val="00865BCE"/>
    <w:rsid w:val="0087633D"/>
    <w:rsid w:val="0088486B"/>
    <w:rsid w:val="00891181"/>
    <w:rsid w:val="00893BF8"/>
    <w:rsid w:val="008A2FBC"/>
    <w:rsid w:val="008A4087"/>
    <w:rsid w:val="008A7D1F"/>
    <w:rsid w:val="008C0EF4"/>
    <w:rsid w:val="008C2D59"/>
    <w:rsid w:val="008C7FB4"/>
    <w:rsid w:val="008D06C3"/>
    <w:rsid w:val="008E294D"/>
    <w:rsid w:val="008E557F"/>
    <w:rsid w:val="008E689A"/>
    <w:rsid w:val="00912DD0"/>
    <w:rsid w:val="00913900"/>
    <w:rsid w:val="0091454C"/>
    <w:rsid w:val="00921C6B"/>
    <w:rsid w:val="00926D8D"/>
    <w:rsid w:val="009300CC"/>
    <w:rsid w:val="00933AF2"/>
    <w:rsid w:val="00944549"/>
    <w:rsid w:val="009447F7"/>
    <w:rsid w:val="00951891"/>
    <w:rsid w:val="00954838"/>
    <w:rsid w:val="0095710A"/>
    <w:rsid w:val="00961285"/>
    <w:rsid w:val="00964A28"/>
    <w:rsid w:val="00966DB9"/>
    <w:rsid w:val="009678A4"/>
    <w:rsid w:val="00970D73"/>
    <w:rsid w:val="00971EEF"/>
    <w:rsid w:val="009813BA"/>
    <w:rsid w:val="00983C5B"/>
    <w:rsid w:val="0098418F"/>
    <w:rsid w:val="00991127"/>
    <w:rsid w:val="00991F0A"/>
    <w:rsid w:val="00993AC8"/>
    <w:rsid w:val="009A3DB1"/>
    <w:rsid w:val="009B0293"/>
    <w:rsid w:val="009B1FA7"/>
    <w:rsid w:val="009C020F"/>
    <w:rsid w:val="009D1AF4"/>
    <w:rsid w:val="009E5324"/>
    <w:rsid w:val="009F0371"/>
    <w:rsid w:val="009F58A6"/>
    <w:rsid w:val="00A003C7"/>
    <w:rsid w:val="00A016B8"/>
    <w:rsid w:val="00A0639D"/>
    <w:rsid w:val="00A144BB"/>
    <w:rsid w:val="00A16C89"/>
    <w:rsid w:val="00A23891"/>
    <w:rsid w:val="00A23BD5"/>
    <w:rsid w:val="00A32382"/>
    <w:rsid w:val="00A34E48"/>
    <w:rsid w:val="00A42A25"/>
    <w:rsid w:val="00A5200C"/>
    <w:rsid w:val="00A60D92"/>
    <w:rsid w:val="00A62CD1"/>
    <w:rsid w:val="00A72B49"/>
    <w:rsid w:val="00A72C73"/>
    <w:rsid w:val="00A737B9"/>
    <w:rsid w:val="00A755BC"/>
    <w:rsid w:val="00A77040"/>
    <w:rsid w:val="00A777A4"/>
    <w:rsid w:val="00A8433A"/>
    <w:rsid w:val="00A904F1"/>
    <w:rsid w:val="00A90FD3"/>
    <w:rsid w:val="00AA7304"/>
    <w:rsid w:val="00AB1E10"/>
    <w:rsid w:val="00AB29D9"/>
    <w:rsid w:val="00AB2AED"/>
    <w:rsid w:val="00AC05B2"/>
    <w:rsid w:val="00AC1983"/>
    <w:rsid w:val="00AC38D8"/>
    <w:rsid w:val="00AE62AE"/>
    <w:rsid w:val="00AF2F28"/>
    <w:rsid w:val="00AF48AA"/>
    <w:rsid w:val="00B033AF"/>
    <w:rsid w:val="00B0489F"/>
    <w:rsid w:val="00B06108"/>
    <w:rsid w:val="00B1313A"/>
    <w:rsid w:val="00B26536"/>
    <w:rsid w:val="00B3418D"/>
    <w:rsid w:val="00B428F6"/>
    <w:rsid w:val="00B43174"/>
    <w:rsid w:val="00B51FC9"/>
    <w:rsid w:val="00B5534A"/>
    <w:rsid w:val="00B57416"/>
    <w:rsid w:val="00B60567"/>
    <w:rsid w:val="00B60C21"/>
    <w:rsid w:val="00B62912"/>
    <w:rsid w:val="00B65604"/>
    <w:rsid w:val="00B703AC"/>
    <w:rsid w:val="00B70BE7"/>
    <w:rsid w:val="00B719EF"/>
    <w:rsid w:val="00B72484"/>
    <w:rsid w:val="00B74BED"/>
    <w:rsid w:val="00B777DC"/>
    <w:rsid w:val="00B8327C"/>
    <w:rsid w:val="00B97BF9"/>
    <w:rsid w:val="00BA4D30"/>
    <w:rsid w:val="00BB0DA4"/>
    <w:rsid w:val="00BB3276"/>
    <w:rsid w:val="00BB4DBA"/>
    <w:rsid w:val="00BB7DD8"/>
    <w:rsid w:val="00BC0D67"/>
    <w:rsid w:val="00BC372A"/>
    <w:rsid w:val="00BC3D94"/>
    <w:rsid w:val="00BD1FEC"/>
    <w:rsid w:val="00BD2D5A"/>
    <w:rsid w:val="00BD2DA7"/>
    <w:rsid w:val="00BD5FCC"/>
    <w:rsid w:val="00BE50EB"/>
    <w:rsid w:val="00BF428D"/>
    <w:rsid w:val="00BF6948"/>
    <w:rsid w:val="00C0524A"/>
    <w:rsid w:val="00C061CC"/>
    <w:rsid w:val="00C070AF"/>
    <w:rsid w:val="00C119D5"/>
    <w:rsid w:val="00C13CE2"/>
    <w:rsid w:val="00C246B8"/>
    <w:rsid w:val="00C246D8"/>
    <w:rsid w:val="00C26DFC"/>
    <w:rsid w:val="00C41F72"/>
    <w:rsid w:val="00C42398"/>
    <w:rsid w:val="00C4629D"/>
    <w:rsid w:val="00C5024C"/>
    <w:rsid w:val="00C51AF7"/>
    <w:rsid w:val="00C52EC8"/>
    <w:rsid w:val="00C53B22"/>
    <w:rsid w:val="00C55A36"/>
    <w:rsid w:val="00C5662F"/>
    <w:rsid w:val="00C73FBE"/>
    <w:rsid w:val="00C76FEF"/>
    <w:rsid w:val="00C92AF0"/>
    <w:rsid w:val="00C92DBD"/>
    <w:rsid w:val="00C93456"/>
    <w:rsid w:val="00C93983"/>
    <w:rsid w:val="00CA2615"/>
    <w:rsid w:val="00CA409D"/>
    <w:rsid w:val="00CC0B73"/>
    <w:rsid w:val="00CC0E91"/>
    <w:rsid w:val="00CC1FEA"/>
    <w:rsid w:val="00CD101A"/>
    <w:rsid w:val="00CD1B0B"/>
    <w:rsid w:val="00CD3632"/>
    <w:rsid w:val="00CD7BE9"/>
    <w:rsid w:val="00CF108C"/>
    <w:rsid w:val="00CF26B7"/>
    <w:rsid w:val="00CF3DDD"/>
    <w:rsid w:val="00CF4E82"/>
    <w:rsid w:val="00D0306A"/>
    <w:rsid w:val="00D072AD"/>
    <w:rsid w:val="00D12A66"/>
    <w:rsid w:val="00D23F72"/>
    <w:rsid w:val="00D24B19"/>
    <w:rsid w:val="00D26AE0"/>
    <w:rsid w:val="00D34A9C"/>
    <w:rsid w:val="00D35964"/>
    <w:rsid w:val="00D52003"/>
    <w:rsid w:val="00D52F2B"/>
    <w:rsid w:val="00D54D6A"/>
    <w:rsid w:val="00D55C4B"/>
    <w:rsid w:val="00D646BF"/>
    <w:rsid w:val="00D70283"/>
    <w:rsid w:val="00D7318C"/>
    <w:rsid w:val="00D84BC8"/>
    <w:rsid w:val="00D91399"/>
    <w:rsid w:val="00D92420"/>
    <w:rsid w:val="00D93CCA"/>
    <w:rsid w:val="00D9534C"/>
    <w:rsid w:val="00DA19F0"/>
    <w:rsid w:val="00DA210C"/>
    <w:rsid w:val="00DA28A4"/>
    <w:rsid w:val="00DA30DA"/>
    <w:rsid w:val="00DA448C"/>
    <w:rsid w:val="00DA519A"/>
    <w:rsid w:val="00DA5AD5"/>
    <w:rsid w:val="00DB7699"/>
    <w:rsid w:val="00DC1517"/>
    <w:rsid w:val="00DC2CAC"/>
    <w:rsid w:val="00DD6780"/>
    <w:rsid w:val="00DD7E1C"/>
    <w:rsid w:val="00DE2243"/>
    <w:rsid w:val="00DE499E"/>
    <w:rsid w:val="00DE5DF3"/>
    <w:rsid w:val="00DF5D02"/>
    <w:rsid w:val="00DF7099"/>
    <w:rsid w:val="00E025C2"/>
    <w:rsid w:val="00E22FDA"/>
    <w:rsid w:val="00E243CE"/>
    <w:rsid w:val="00E26889"/>
    <w:rsid w:val="00E35FD2"/>
    <w:rsid w:val="00E418AE"/>
    <w:rsid w:val="00E41A6D"/>
    <w:rsid w:val="00E4267D"/>
    <w:rsid w:val="00E42BA8"/>
    <w:rsid w:val="00E45550"/>
    <w:rsid w:val="00E46900"/>
    <w:rsid w:val="00E46B41"/>
    <w:rsid w:val="00E502F1"/>
    <w:rsid w:val="00E57488"/>
    <w:rsid w:val="00E60BE6"/>
    <w:rsid w:val="00E63E7C"/>
    <w:rsid w:val="00E842F3"/>
    <w:rsid w:val="00E8530E"/>
    <w:rsid w:val="00E9091D"/>
    <w:rsid w:val="00E927A1"/>
    <w:rsid w:val="00E94AD2"/>
    <w:rsid w:val="00E94BAB"/>
    <w:rsid w:val="00EA0D4E"/>
    <w:rsid w:val="00EB3AF2"/>
    <w:rsid w:val="00EB55E3"/>
    <w:rsid w:val="00ED5A35"/>
    <w:rsid w:val="00ED6789"/>
    <w:rsid w:val="00ED6E8C"/>
    <w:rsid w:val="00ED6F8A"/>
    <w:rsid w:val="00EF580A"/>
    <w:rsid w:val="00F0065E"/>
    <w:rsid w:val="00F0372B"/>
    <w:rsid w:val="00F1645E"/>
    <w:rsid w:val="00F30EDC"/>
    <w:rsid w:val="00F341B7"/>
    <w:rsid w:val="00F44EF7"/>
    <w:rsid w:val="00F56004"/>
    <w:rsid w:val="00F57C2A"/>
    <w:rsid w:val="00F7307E"/>
    <w:rsid w:val="00F76E81"/>
    <w:rsid w:val="00F777DA"/>
    <w:rsid w:val="00F92E34"/>
    <w:rsid w:val="00F93FC8"/>
    <w:rsid w:val="00F945FA"/>
    <w:rsid w:val="00FB1644"/>
    <w:rsid w:val="00FC704A"/>
    <w:rsid w:val="00FD118B"/>
    <w:rsid w:val="00FD196D"/>
    <w:rsid w:val="00FF23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semiHidden/>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8003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Christoph Rutschmann</cp:lastModifiedBy>
  <cp:revision>13</cp:revision>
  <dcterms:created xsi:type="dcterms:W3CDTF">2022-09-05T07:02:00Z</dcterms:created>
  <dcterms:modified xsi:type="dcterms:W3CDTF">2022-09-08T09:36:00Z</dcterms:modified>
</cp:coreProperties>
</file>