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0E412AAD"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1CAC59DB" w:rsidR="006F21B2" w:rsidRPr="004137E7" w:rsidRDefault="006F21B2" w:rsidP="00442798">
      <w:pPr>
        <w:spacing w:after="0"/>
        <w:rPr>
          <w:rFonts w:ascii="Arial" w:hAnsi="Arial" w:cs="Arial"/>
        </w:rPr>
      </w:pPr>
      <w:r>
        <w:rPr>
          <w:rFonts w:ascii="Arial" w:hAnsi="Arial" w:cs="Arial"/>
        </w:rPr>
        <w:t xml:space="preserve">Zürich, </w:t>
      </w:r>
      <w:r w:rsidR="00DC61B1">
        <w:rPr>
          <w:rFonts w:ascii="Arial" w:hAnsi="Arial" w:cs="Arial"/>
        </w:rPr>
        <w:t>29</w:t>
      </w:r>
      <w:r w:rsidR="00D26AE0">
        <w:rPr>
          <w:rFonts w:ascii="Arial" w:hAnsi="Arial" w:cs="Arial"/>
        </w:rPr>
        <w:t>.0</w:t>
      </w:r>
      <w:r w:rsidR="00AC05B2">
        <w:rPr>
          <w:rFonts w:ascii="Arial" w:hAnsi="Arial" w:cs="Arial"/>
        </w:rPr>
        <w:t>7</w:t>
      </w:r>
      <w:r w:rsidR="00442798">
        <w:rPr>
          <w:rFonts w:ascii="Arial" w:hAnsi="Arial" w:cs="Arial"/>
        </w:rPr>
        <w:t>.2022</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4FB3C944"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ca.</w:t>
      </w:r>
      <w:r w:rsidR="00964A28">
        <w:rPr>
          <w:rFonts w:ascii="Arial" w:hAnsi="Arial" w:cs="Arial"/>
          <w:i/>
          <w:sz w:val="20"/>
        </w:rPr>
        <w:t xml:space="preserve">  </w:t>
      </w:r>
      <w:r w:rsidR="0002408E">
        <w:rPr>
          <w:rFonts w:ascii="Arial" w:hAnsi="Arial" w:cs="Arial"/>
          <w:i/>
          <w:sz w:val="20"/>
        </w:rPr>
        <w:t>5'1</w:t>
      </w:r>
      <w:r w:rsidR="00856478">
        <w:rPr>
          <w:rFonts w:ascii="Arial" w:hAnsi="Arial" w:cs="Arial"/>
          <w:i/>
          <w:sz w:val="20"/>
        </w:rPr>
        <w:t>0</w:t>
      </w:r>
      <w:r w:rsidR="0002408E">
        <w:rPr>
          <w:rFonts w:ascii="Arial" w:hAnsi="Arial" w:cs="Arial"/>
          <w:i/>
          <w:sz w:val="20"/>
        </w:rPr>
        <w:t xml:space="preserve">0 </w:t>
      </w:r>
      <w:r>
        <w:rPr>
          <w:rFonts w:ascii="Arial" w:hAnsi="Arial" w:cs="Arial"/>
          <w:i/>
          <w:sz w:val="20"/>
        </w:rPr>
        <w:t xml:space="preserve">Zeichen, </w:t>
      </w:r>
      <w:r w:rsidR="00C52EC8">
        <w:rPr>
          <w:rFonts w:ascii="Arial" w:hAnsi="Arial" w:cs="Arial"/>
          <w:i/>
          <w:sz w:val="20"/>
        </w:rPr>
        <w:t xml:space="preserve">Text </w:t>
      </w:r>
      <w:r>
        <w:rPr>
          <w:rFonts w:ascii="Arial" w:hAnsi="Arial" w:cs="Arial"/>
          <w:i/>
          <w:sz w:val="20"/>
        </w:rPr>
        <w:t>inkl. Lead</w:t>
      </w:r>
      <w:r w:rsidR="00C52EC8">
        <w:rPr>
          <w:rFonts w:ascii="Arial" w:hAnsi="Arial" w:cs="Arial"/>
          <w:i/>
          <w:sz w:val="20"/>
        </w:rPr>
        <w:t xml:space="preserve"> </w:t>
      </w:r>
      <w:r w:rsidR="008C0EF4">
        <w:rPr>
          <w:rFonts w:ascii="Arial" w:hAnsi="Arial" w:cs="Arial"/>
          <w:i/>
          <w:sz w:val="20"/>
        </w:rPr>
        <w:t>sowie</w:t>
      </w:r>
      <w:r>
        <w:rPr>
          <w:rFonts w:ascii="Arial" w:hAnsi="Arial" w:cs="Arial"/>
          <w:i/>
          <w:sz w:val="20"/>
        </w:rPr>
        <w:t xml:space="preserve"> Leerschlägen, ohne Titel</w:t>
      </w:r>
      <w:r w:rsidR="008C0EF4">
        <w:rPr>
          <w:rFonts w:ascii="Arial" w:hAnsi="Arial" w:cs="Arial"/>
          <w:i/>
          <w:sz w:val="20"/>
        </w:rPr>
        <w:t xml:space="preserve">, 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2F686288" w14:textId="15DF4840" w:rsidR="004870F5" w:rsidRDefault="00DE2243" w:rsidP="00442798">
      <w:pPr>
        <w:spacing w:after="0"/>
        <w:rPr>
          <w:rFonts w:ascii="Arial" w:hAnsi="Arial" w:cs="Arial"/>
          <w:b/>
          <w:sz w:val="28"/>
        </w:rPr>
      </w:pPr>
      <w:r>
        <w:rPr>
          <w:rFonts w:ascii="Arial" w:hAnsi="Arial" w:cs="Arial"/>
          <w:b/>
          <w:sz w:val="28"/>
        </w:rPr>
        <w:t xml:space="preserve">Holzenergie: </w:t>
      </w:r>
      <w:r w:rsidR="00856478">
        <w:rPr>
          <w:rFonts w:ascii="Arial" w:hAnsi="Arial" w:cs="Arial"/>
          <w:b/>
          <w:sz w:val="28"/>
        </w:rPr>
        <w:t>Wichtig für</w:t>
      </w:r>
      <w:r w:rsidR="00B26536">
        <w:rPr>
          <w:rFonts w:ascii="Arial" w:hAnsi="Arial" w:cs="Arial"/>
          <w:b/>
          <w:sz w:val="28"/>
        </w:rPr>
        <w:t xml:space="preserve"> </w:t>
      </w:r>
      <w:r w:rsidR="0045492C">
        <w:rPr>
          <w:rFonts w:ascii="Arial" w:hAnsi="Arial" w:cs="Arial"/>
          <w:b/>
          <w:sz w:val="28"/>
        </w:rPr>
        <w:t xml:space="preserve">eine </w:t>
      </w:r>
      <w:r>
        <w:rPr>
          <w:rFonts w:ascii="Arial" w:hAnsi="Arial" w:cs="Arial"/>
          <w:b/>
          <w:sz w:val="28"/>
        </w:rPr>
        <w:t>sichere Energieversorgung</w:t>
      </w:r>
    </w:p>
    <w:p w14:paraId="5459DABA" w14:textId="4E351152" w:rsidR="00A777A4" w:rsidRDefault="00A777A4" w:rsidP="00442798">
      <w:pPr>
        <w:spacing w:after="0"/>
        <w:rPr>
          <w:rFonts w:ascii="Arial" w:hAnsi="Arial" w:cs="Arial"/>
          <w:b/>
          <w:sz w:val="28"/>
        </w:rPr>
      </w:pPr>
    </w:p>
    <w:p w14:paraId="0A34E4DE" w14:textId="7AC20DBF" w:rsidR="00C51AF7" w:rsidRDefault="000372D5" w:rsidP="00442798">
      <w:pPr>
        <w:spacing w:after="0"/>
        <w:rPr>
          <w:rFonts w:ascii="Arial" w:hAnsi="Arial" w:cs="Arial"/>
          <w:b/>
        </w:rPr>
      </w:pPr>
      <w:r>
        <w:rPr>
          <w:rFonts w:ascii="Arial" w:hAnsi="Arial" w:cs="Arial"/>
          <w:b/>
        </w:rPr>
        <w:t>Kommt es nächsten Winter zu</w:t>
      </w:r>
      <w:r w:rsidR="00365183">
        <w:rPr>
          <w:rFonts w:ascii="Arial" w:hAnsi="Arial" w:cs="Arial"/>
          <w:b/>
        </w:rPr>
        <w:t xml:space="preserve"> </w:t>
      </w:r>
      <w:r w:rsidR="00E60BE6">
        <w:rPr>
          <w:rFonts w:ascii="Arial" w:hAnsi="Arial" w:cs="Arial"/>
          <w:b/>
        </w:rPr>
        <w:t>Engpässe</w:t>
      </w:r>
      <w:r>
        <w:rPr>
          <w:rFonts w:ascii="Arial" w:hAnsi="Arial" w:cs="Arial"/>
          <w:b/>
        </w:rPr>
        <w:t>n</w:t>
      </w:r>
      <w:r w:rsidR="00E60BE6">
        <w:rPr>
          <w:rFonts w:ascii="Arial" w:hAnsi="Arial" w:cs="Arial"/>
          <w:b/>
        </w:rPr>
        <w:t xml:space="preserve"> in der Energieversorgung</w:t>
      </w:r>
      <w:r>
        <w:rPr>
          <w:rFonts w:ascii="Arial" w:hAnsi="Arial" w:cs="Arial"/>
          <w:b/>
        </w:rPr>
        <w:t>?</w:t>
      </w:r>
      <w:r w:rsidR="00E60BE6">
        <w:rPr>
          <w:rFonts w:ascii="Arial" w:hAnsi="Arial" w:cs="Arial"/>
          <w:b/>
        </w:rPr>
        <w:t xml:space="preserve"> Gas und Öl aus Russland werden möglicherweise </w:t>
      </w:r>
      <w:r w:rsidR="00912DD0">
        <w:rPr>
          <w:rFonts w:ascii="Arial" w:hAnsi="Arial" w:cs="Arial"/>
          <w:b/>
        </w:rPr>
        <w:t>ausbleiben</w:t>
      </w:r>
      <w:r w:rsidR="00E60BE6">
        <w:rPr>
          <w:rFonts w:ascii="Arial" w:hAnsi="Arial" w:cs="Arial"/>
          <w:b/>
        </w:rPr>
        <w:t>. Das ist gut so</w:t>
      </w:r>
      <w:r>
        <w:rPr>
          <w:rFonts w:ascii="Arial" w:hAnsi="Arial" w:cs="Arial"/>
          <w:b/>
        </w:rPr>
        <w:t>, denn damit finanzieren wir Putins Krieg gegen die Ukraine. Wir sollten</w:t>
      </w:r>
      <w:r w:rsidR="00E60BE6">
        <w:rPr>
          <w:rFonts w:ascii="Arial" w:hAnsi="Arial" w:cs="Arial"/>
          <w:b/>
        </w:rPr>
        <w:t xml:space="preserve"> russisches Erdgas </w:t>
      </w:r>
      <w:r>
        <w:rPr>
          <w:rFonts w:ascii="Arial" w:hAnsi="Arial" w:cs="Arial"/>
          <w:b/>
        </w:rPr>
        <w:t xml:space="preserve">aber </w:t>
      </w:r>
      <w:r w:rsidR="00E60BE6">
        <w:rPr>
          <w:rFonts w:ascii="Arial" w:hAnsi="Arial" w:cs="Arial"/>
          <w:b/>
        </w:rPr>
        <w:t xml:space="preserve">nicht </w:t>
      </w:r>
      <w:r w:rsidR="00B72484">
        <w:rPr>
          <w:rFonts w:ascii="Arial" w:hAnsi="Arial" w:cs="Arial"/>
          <w:b/>
        </w:rPr>
        <w:t xml:space="preserve">langfristig </w:t>
      </w:r>
      <w:r w:rsidR="00E60BE6">
        <w:rPr>
          <w:rFonts w:ascii="Arial" w:hAnsi="Arial" w:cs="Arial"/>
          <w:b/>
        </w:rPr>
        <w:t>durch Flüssiggas ersetze</w:t>
      </w:r>
      <w:r>
        <w:rPr>
          <w:rFonts w:ascii="Arial" w:hAnsi="Arial" w:cs="Arial"/>
          <w:b/>
        </w:rPr>
        <w:t>n und so</w:t>
      </w:r>
      <w:r w:rsidR="00E60BE6">
        <w:rPr>
          <w:rFonts w:ascii="Arial" w:hAnsi="Arial" w:cs="Arial"/>
          <w:b/>
        </w:rPr>
        <w:t xml:space="preserve"> den Teufel mit dem </w:t>
      </w:r>
      <w:r w:rsidR="00912DD0">
        <w:rPr>
          <w:rFonts w:ascii="Arial" w:hAnsi="Arial" w:cs="Arial"/>
          <w:b/>
        </w:rPr>
        <w:t>Beelzebub</w:t>
      </w:r>
      <w:r w:rsidR="00E60BE6">
        <w:rPr>
          <w:rFonts w:ascii="Arial" w:hAnsi="Arial" w:cs="Arial"/>
          <w:b/>
        </w:rPr>
        <w:t xml:space="preserve"> austreiben</w:t>
      </w:r>
      <w:r w:rsidR="000E324A">
        <w:rPr>
          <w:rFonts w:ascii="Arial" w:hAnsi="Arial" w:cs="Arial"/>
          <w:b/>
        </w:rPr>
        <w:t>.</w:t>
      </w:r>
      <w:r w:rsidR="00F945FA">
        <w:rPr>
          <w:rFonts w:ascii="Arial" w:hAnsi="Arial" w:cs="Arial"/>
          <w:b/>
        </w:rPr>
        <w:t xml:space="preserve"> Viel bessere Lösungen </w:t>
      </w:r>
      <w:r w:rsidR="00674927">
        <w:rPr>
          <w:rFonts w:ascii="Arial" w:hAnsi="Arial" w:cs="Arial"/>
          <w:b/>
        </w:rPr>
        <w:t>warten</w:t>
      </w:r>
      <w:r w:rsidR="00F945FA">
        <w:rPr>
          <w:rFonts w:ascii="Arial" w:hAnsi="Arial" w:cs="Arial"/>
          <w:b/>
        </w:rPr>
        <w:t xml:space="preserve"> direkt vor unseren Haustüren.</w:t>
      </w:r>
    </w:p>
    <w:p w14:paraId="1BE90888" w14:textId="77777777" w:rsidR="00DA19F0" w:rsidRDefault="00DA19F0">
      <w:pPr>
        <w:spacing w:after="160" w:line="259" w:lineRule="auto"/>
        <w:rPr>
          <w:rFonts w:ascii="Arial" w:hAnsi="Arial" w:cs="Arial"/>
          <w:bCs/>
        </w:rPr>
      </w:pPr>
    </w:p>
    <w:p w14:paraId="3E211A1A" w14:textId="6F3295CE" w:rsidR="00D55C4B" w:rsidRDefault="00912DD0" w:rsidP="00912DD0">
      <w:pPr>
        <w:spacing w:after="0"/>
        <w:rPr>
          <w:rFonts w:ascii="Arial" w:hAnsi="Arial" w:cs="Arial"/>
          <w:bCs/>
        </w:rPr>
      </w:pPr>
      <w:r>
        <w:rPr>
          <w:rFonts w:ascii="Arial" w:hAnsi="Arial" w:cs="Arial"/>
          <w:bCs/>
        </w:rPr>
        <w:t xml:space="preserve">Holzenergie Schweiz setzt sich seit Jahrzehnten für eine von Scheichs, Diktatoren und Autokraten unabhängige Energieversorgung ein. Und noch nie war das Anliegen dringender und wichtiger als heute. Denn die fossilen Energien heizen nicht nur das Klima an, sondern viele </w:t>
      </w:r>
      <w:r w:rsidR="002C2468">
        <w:rPr>
          <w:rFonts w:ascii="Arial" w:hAnsi="Arial" w:cs="Arial"/>
          <w:bCs/>
        </w:rPr>
        <w:t>Öl- und Gasl</w:t>
      </w:r>
      <w:r>
        <w:rPr>
          <w:rFonts w:ascii="Arial" w:hAnsi="Arial" w:cs="Arial"/>
          <w:bCs/>
        </w:rPr>
        <w:t>ieferanten finanzieren damit ihre masslose Bereicherung, ihre demokratiefeindlichen Systeme und im schlimmsten Fall ihre Kriege</w:t>
      </w:r>
      <w:r w:rsidR="00BB0DA4">
        <w:rPr>
          <w:rFonts w:ascii="Arial" w:hAnsi="Arial" w:cs="Arial"/>
          <w:bCs/>
        </w:rPr>
        <w:t xml:space="preserve">. </w:t>
      </w:r>
      <w:r>
        <w:rPr>
          <w:rFonts w:ascii="Arial" w:hAnsi="Arial" w:cs="Arial"/>
          <w:bCs/>
        </w:rPr>
        <w:t>Diese unbequeme Wahrheit ist in Europa angekommen</w:t>
      </w:r>
      <w:r w:rsidR="002C2468">
        <w:rPr>
          <w:rFonts w:ascii="Arial" w:hAnsi="Arial" w:cs="Arial"/>
          <w:bCs/>
        </w:rPr>
        <w:t xml:space="preserve"> und fordert jeden Tag hunderte von Opfern. </w:t>
      </w:r>
      <w:r w:rsidR="00F945FA">
        <w:rPr>
          <w:rFonts w:ascii="Arial" w:hAnsi="Arial" w:cs="Arial"/>
          <w:bCs/>
        </w:rPr>
        <w:t xml:space="preserve">Wie befreien wir uns aus </w:t>
      </w:r>
      <w:r w:rsidR="00674927">
        <w:rPr>
          <w:rFonts w:ascii="Arial" w:hAnsi="Arial" w:cs="Arial"/>
          <w:bCs/>
        </w:rPr>
        <w:t>dem Würgegriff</w:t>
      </w:r>
      <w:r w:rsidR="00F945FA">
        <w:rPr>
          <w:rFonts w:ascii="Arial" w:hAnsi="Arial" w:cs="Arial"/>
          <w:bCs/>
        </w:rPr>
        <w:t>? Ranghohe</w:t>
      </w:r>
      <w:r w:rsidR="002C2468">
        <w:rPr>
          <w:rFonts w:ascii="Arial" w:hAnsi="Arial" w:cs="Arial"/>
          <w:bCs/>
        </w:rPr>
        <w:t xml:space="preserve"> Vertreter der Schweiz pilgern nach Katar, um Ersatz für russisches Erdgas zu finden. Das Emirat </w:t>
      </w:r>
      <w:r w:rsidR="00A23BD5">
        <w:rPr>
          <w:rFonts w:ascii="Arial" w:hAnsi="Arial" w:cs="Arial"/>
          <w:bCs/>
        </w:rPr>
        <w:t xml:space="preserve">am Persischen Golf </w:t>
      </w:r>
      <w:r w:rsidR="002C2468">
        <w:rPr>
          <w:rFonts w:ascii="Arial" w:hAnsi="Arial" w:cs="Arial"/>
          <w:bCs/>
        </w:rPr>
        <w:t xml:space="preserve">scheint die Notsituation der Schweiz und Europas aber ausnützen zu wollen, indem es </w:t>
      </w:r>
      <w:r w:rsidR="00A23BD5">
        <w:rPr>
          <w:rFonts w:ascii="Arial" w:hAnsi="Arial" w:cs="Arial"/>
          <w:bCs/>
        </w:rPr>
        <w:t xml:space="preserve">nur dann Gas liefern will, wenn Lieferverträge mit einer Laufzeit von 20 Jahren </w:t>
      </w:r>
      <w:r w:rsidR="00E418AE">
        <w:rPr>
          <w:rFonts w:ascii="Arial" w:hAnsi="Arial" w:cs="Arial"/>
          <w:bCs/>
        </w:rPr>
        <w:t>abgeschlossen werden</w:t>
      </w:r>
      <w:r w:rsidR="00A23BD5">
        <w:rPr>
          <w:rFonts w:ascii="Arial" w:hAnsi="Arial" w:cs="Arial"/>
          <w:bCs/>
        </w:rPr>
        <w:t xml:space="preserve">. Damit würden wir in die nächste fossile Falle tappen und den Klimaschutz nachhaltig sabotieren. </w:t>
      </w:r>
    </w:p>
    <w:p w14:paraId="5965F506" w14:textId="3775C597" w:rsidR="00A23BD5" w:rsidRDefault="00A23BD5" w:rsidP="00912DD0">
      <w:pPr>
        <w:spacing w:after="0"/>
        <w:rPr>
          <w:rFonts w:ascii="Arial" w:hAnsi="Arial" w:cs="Arial"/>
          <w:bCs/>
        </w:rPr>
      </w:pPr>
    </w:p>
    <w:p w14:paraId="3C2A069A" w14:textId="36FD7C7E" w:rsidR="00A23BD5" w:rsidRDefault="00A23BD5" w:rsidP="00912DD0">
      <w:pPr>
        <w:spacing w:after="0"/>
        <w:rPr>
          <w:rFonts w:ascii="Arial" w:hAnsi="Arial" w:cs="Arial"/>
          <w:b/>
        </w:rPr>
      </w:pPr>
      <w:r w:rsidRPr="00A23BD5">
        <w:rPr>
          <w:rFonts w:ascii="Arial" w:hAnsi="Arial" w:cs="Arial"/>
          <w:b/>
        </w:rPr>
        <w:t>Milliarden gegen oder für sich selber einsetzen?</w:t>
      </w:r>
    </w:p>
    <w:p w14:paraId="359DAEF6" w14:textId="77777777" w:rsidR="00250A6D" w:rsidRPr="00A23BD5" w:rsidRDefault="00250A6D" w:rsidP="00912DD0">
      <w:pPr>
        <w:spacing w:after="0"/>
        <w:rPr>
          <w:rFonts w:ascii="Arial" w:hAnsi="Arial" w:cs="Arial"/>
          <w:b/>
        </w:rPr>
      </w:pPr>
    </w:p>
    <w:p w14:paraId="112C0154" w14:textId="16A3B51D" w:rsidR="00A23BD5" w:rsidRDefault="00E418AE">
      <w:pPr>
        <w:spacing w:after="160" w:line="259" w:lineRule="auto"/>
        <w:rPr>
          <w:rFonts w:ascii="Arial" w:hAnsi="Arial" w:cs="Arial"/>
          <w:bCs/>
        </w:rPr>
      </w:pPr>
      <w:r>
        <w:rPr>
          <w:rFonts w:ascii="Arial" w:hAnsi="Arial" w:cs="Arial"/>
          <w:bCs/>
        </w:rPr>
        <w:t xml:space="preserve">Würde </w:t>
      </w:r>
      <w:r w:rsidR="00365183">
        <w:rPr>
          <w:rFonts w:ascii="Arial" w:hAnsi="Arial" w:cs="Arial"/>
          <w:bCs/>
        </w:rPr>
        <w:t>unser Land</w:t>
      </w:r>
      <w:r>
        <w:rPr>
          <w:rFonts w:ascii="Arial" w:hAnsi="Arial" w:cs="Arial"/>
          <w:bCs/>
        </w:rPr>
        <w:t xml:space="preserve"> gleich viel Kraft </w:t>
      </w:r>
      <w:r w:rsidR="00C246D8">
        <w:rPr>
          <w:rFonts w:ascii="Arial" w:hAnsi="Arial" w:cs="Arial"/>
          <w:bCs/>
        </w:rPr>
        <w:t xml:space="preserve">und Mittel </w:t>
      </w:r>
      <w:r>
        <w:rPr>
          <w:rFonts w:ascii="Arial" w:hAnsi="Arial" w:cs="Arial"/>
          <w:bCs/>
        </w:rPr>
        <w:t>in den Ausbau der ern</w:t>
      </w:r>
      <w:r w:rsidR="00C246D8">
        <w:rPr>
          <w:rFonts w:ascii="Arial" w:hAnsi="Arial" w:cs="Arial"/>
          <w:bCs/>
        </w:rPr>
        <w:t>e</w:t>
      </w:r>
      <w:r>
        <w:rPr>
          <w:rFonts w:ascii="Arial" w:hAnsi="Arial" w:cs="Arial"/>
          <w:bCs/>
        </w:rPr>
        <w:t xml:space="preserve">uerbaren Energien investieren wie in </w:t>
      </w:r>
      <w:r w:rsidR="00C246D8">
        <w:rPr>
          <w:rFonts w:ascii="Arial" w:hAnsi="Arial" w:cs="Arial"/>
          <w:bCs/>
        </w:rPr>
        <w:t xml:space="preserve">das Festhalten an fossilen und nuklearen Energieformen, wäre </w:t>
      </w:r>
      <w:r w:rsidR="00674927">
        <w:rPr>
          <w:rFonts w:ascii="Arial" w:hAnsi="Arial" w:cs="Arial"/>
          <w:bCs/>
        </w:rPr>
        <w:t>eine weitgehende</w:t>
      </w:r>
      <w:r w:rsidR="00C246D8">
        <w:rPr>
          <w:rFonts w:ascii="Arial" w:hAnsi="Arial" w:cs="Arial"/>
          <w:bCs/>
        </w:rPr>
        <w:t xml:space="preserve"> Umstellung auf eine zukunftsfähige Energieversorgung </w:t>
      </w:r>
      <w:r w:rsidR="00674927">
        <w:rPr>
          <w:rFonts w:ascii="Arial" w:hAnsi="Arial" w:cs="Arial"/>
          <w:bCs/>
        </w:rPr>
        <w:t>in zehn bis fünfzehn Jahren</w:t>
      </w:r>
      <w:r w:rsidR="00C246D8">
        <w:rPr>
          <w:rFonts w:ascii="Arial" w:hAnsi="Arial" w:cs="Arial"/>
          <w:bCs/>
        </w:rPr>
        <w:t xml:space="preserve"> möglich.</w:t>
      </w:r>
      <w:r w:rsidR="00F945FA">
        <w:rPr>
          <w:rFonts w:ascii="Arial" w:hAnsi="Arial" w:cs="Arial"/>
          <w:bCs/>
        </w:rPr>
        <w:t xml:space="preserve"> Die Technologien stehen marktreif bereit und warten darauf, vermehrt zu</w:t>
      </w:r>
      <w:r w:rsidR="00674927">
        <w:rPr>
          <w:rFonts w:ascii="Arial" w:hAnsi="Arial" w:cs="Arial"/>
          <w:bCs/>
        </w:rPr>
        <w:t>m</w:t>
      </w:r>
      <w:r w:rsidR="00F945FA">
        <w:rPr>
          <w:rFonts w:ascii="Arial" w:hAnsi="Arial" w:cs="Arial"/>
          <w:bCs/>
        </w:rPr>
        <w:t xml:space="preserve"> Einsatz zu kommen. </w:t>
      </w:r>
      <w:r w:rsidR="00B51FC9">
        <w:rPr>
          <w:rFonts w:ascii="Arial" w:hAnsi="Arial" w:cs="Arial"/>
          <w:bCs/>
        </w:rPr>
        <w:t>Zählt man die sinnvoll nutzbaren Potential</w:t>
      </w:r>
      <w:r w:rsidR="00250A6D">
        <w:rPr>
          <w:rFonts w:ascii="Arial" w:hAnsi="Arial" w:cs="Arial"/>
          <w:bCs/>
        </w:rPr>
        <w:t>e</w:t>
      </w:r>
      <w:r w:rsidR="00B51FC9">
        <w:rPr>
          <w:rFonts w:ascii="Arial" w:hAnsi="Arial" w:cs="Arial"/>
          <w:bCs/>
        </w:rPr>
        <w:t xml:space="preserve"> der Sonnen-, Holz-, Biomasse- und Windenergie sowie der Wasserkraft und der Umgebungsenergie aus Boden, </w:t>
      </w:r>
      <w:r w:rsidR="00B51FC9">
        <w:rPr>
          <w:rFonts w:ascii="Arial" w:hAnsi="Arial" w:cs="Arial"/>
          <w:bCs/>
        </w:rPr>
        <w:lastRenderedPageBreak/>
        <w:t>Gewässern und Luft zusammen, re</w:t>
      </w:r>
      <w:r w:rsidR="008A7D1F">
        <w:rPr>
          <w:rFonts w:ascii="Arial" w:hAnsi="Arial" w:cs="Arial"/>
          <w:bCs/>
        </w:rPr>
        <w:t>s</w:t>
      </w:r>
      <w:r w:rsidR="00B51FC9">
        <w:rPr>
          <w:rFonts w:ascii="Arial" w:hAnsi="Arial" w:cs="Arial"/>
          <w:bCs/>
        </w:rPr>
        <w:t xml:space="preserve">ultiert daraus ein Mehrfaches unseres heutigen Energieverbrauchs. </w:t>
      </w:r>
      <w:r w:rsidR="00B72484">
        <w:rPr>
          <w:rFonts w:ascii="Arial" w:hAnsi="Arial" w:cs="Arial"/>
          <w:bCs/>
        </w:rPr>
        <w:t>Dazu kommt noch</w:t>
      </w:r>
      <w:r w:rsidR="0033230B">
        <w:rPr>
          <w:rFonts w:ascii="Arial" w:hAnsi="Arial" w:cs="Arial"/>
          <w:bCs/>
        </w:rPr>
        <w:t xml:space="preserve"> das </w:t>
      </w:r>
      <w:r w:rsidR="00B72484">
        <w:rPr>
          <w:rFonts w:ascii="Arial" w:hAnsi="Arial" w:cs="Arial"/>
          <w:bCs/>
        </w:rPr>
        <w:t xml:space="preserve">grosse </w:t>
      </w:r>
      <w:r w:rsidR="0033230B">
        <w:rPr>
          <w:rFonts w:ascii="Arial" w:hAnsi="Arial" w:cs="Arial"/>
          <w:bCs/>
        </w:rPr>
        <w:t>Potential der Energieeffizienz, d.h. der Einsparmöglichkeiten beispielsweise durch besser isolierte Gebäude</w:t>
      </w:r>
      <w:r w:rsidR="00674927">
        <w:rPr>
          <w:rFonts w:ascii="Arial" w:hAnsi="Arial" w:cs="Arial"/>
          <w:bCs/>
        </w:rPr>
        <w:t>,</w:t>
      </w:r>
      <w:r w:rsidR="0033230B">
        <w:rPr>
          <w:rFonts w:ascii="Arial" w:hAnsi="Arial" w:cs="Arial"/>
          <w:bCs/>
        </w:rPr>
        <w:t xml:space="preserve"> </w:t>
      </w:r>
      <w:r w:rsidR="00B72484">
        <w:rPr>
          <w:rFonts w:ascii="Arial" w:hAnsi="Arial" w:cs="Arial"/>
          <w:bCs/>
        </w:rPr>
        <w:t xml:space="preserve">durch </w:t>
      </w:r>
      <w:r w:rsidR="0033230B">
        <w:rPr>
          <w:rFonts w:ascii="Arial" w:hAnsi="Arial" w:cs="Arial"/>
          <w:bCs/>
        </w:rPr>
        <w:t>Elektro</w:t>
      </w:r>
      <w:r w:rsidR="00674927">
        <w:rPr>
          <w:rFonts w:ascii="Arial" w:hAnsi="Arial" w:cs="Arial"/>
          <w:bCs/>
        </w:rPr>
        <w:t>mobilität oder ein schnelles Verbot von Stromheizungen</w:t>
      </w:r>
      <w:r w:rsidR="00B72484">
        <w:rPr>
          <w:rFonts w:ascii="Arial" w:hAnsi="Arial" w:cs="Arial"/>
          <w:bCs/>
        </w:rPr>
        <w:t>.</w:t>
      </w:r>
      <w:r w:rsidR="00250A6D">
        <w:rPr>
          <w:rFonts w:ascii="Arial" w:hAnsi="Arial" w:cs="Arial"/>
          <w:bCs/>
        </w:rPr>
        <w:t xml:space="preserve"> </w:t>
      </w:r>
    </w:p>
    <w:p w14:paraId="2E1ACE41" w14:textId="75969670" w:rsidR="00250A6D" w:rsidRPr="00250A6D" w:rsidRDefault="00250A6D">
      <w:pPr>
        <w:spacing w:after="160" w:line="259" w:lineRule="auto"/>
        <w:rPr>
          <w:rFonts w:ascii="Arial" w:hAnsi="Arial" w:cs="Arial"/>
          <w:b/>
        </w:rPr>
      </w:pPr>
      <w:r w:rsidRPr="00250A6D">
        <w:rPr>
          <w:rFonts w:ascii="Arial" w:hAnsi="Arial" w:cs="Arial"/>
          <w:b/>
        </w:rPr>
        <w:t xml:space="preserve">Welchen Beitrag kann die Holzenergie </w:t>
      </w:r>
      <w:r>
        <w:rPr>
          <w:rFonts w:ascii="Arial" w:hAnsi="Arial" w:cs="Arial"/>
          <w:b/>
        </w:rPr>
        <w:t xml:space="preserve">zusätzlich </w:t>
      </w:r>
      <w:r w:rsidRPr="00250A6D">
        <w:rPr>
          <w:rFonts w:ascii="Arial" w:hAnsi="Arial" w:cs="Arial"/>
          <w:b/>
        </w:rPr>
        <w:t>leisten?</w:t>
      </w:r>
    </w:p>
    <w:p w14:paraId="67FEB967" w14:textId="1F5662CE" w:rsidR="00B72484" w:rsidRDefault="00ED6F8A">
      <w:pPr>
        <w:spacing w:after="160" w:line="259" w:lineRule="auto"/>
        <w:rPr>
          <w:rFonts w:ascii="Arial" w:hAnsi="Arial" w:cs="Arial"/>
          <w:bCs/>
        </w:rPr>
      </w:pPr>
      <w:r>
        <w:rPr>
          <w:rFonts w:ascii="Arial" w:hAnsi="Arial" w:cs="Arial"/>
          <w:bCs/>
        </w:rPr>
        <w:t>H</w:t>
      </w:r>
      <w:r w:rsidR="004A2E7B">
        <w:rPr>
          <w:rFonts w:ascii="Arial" w:hAnsi="Arial" w:cs="Arial"/>
          <w:bCs/>
        </w:rPr>
        <w:t>olzenergie Schweiz geht in einem</w:t>
      </w:r>
      <w:r w:rsidR="00D7318C">
        <w:rPr>
          <w:rFonts w:ascii="Arial" w:hAnsi="Arial" w:cs="Arial"/>
          <w:bCs/>
        </w:rPr>
        <w:t xml:space="preserve"> </w:t>
      </w:r>
      <w:r w:rsidR="00DC2CAC">
        <w:rPr>
          <w:rFonts w:ascii="Arial" w:hAnsi="Arial" w:cs="Arial"/>
          <w:bCs/>
        </w:rPr>
        <w:t>ausführliche</w:t>
      </w:r>
      <w:r w:rsidR="004A2E7B">
        <w:rPr>
          <w:rFonts w:ascii="Arial" w:hAnsi="Arial" w:cs="Arial"/>
          <w:bCs/>
        </w:rPr>
        <w:t xml:space="preserve">n </w:t>
      </w:r>
      <w:r w:rsidR="00DC2CAC">
        <w:rPr>
          <w:rFonts w:ascii="Arial" w:hAnsi="Arial" w:cs="Arial"/>
          <w:bCs/>
        </w:rPr>
        <w:t xml:space="preserve">Grundlagenpapier (April 2022) </w:t>
      </w:r>
      <w:r w:rsidR="00D7318C">
        <w:rPr>
          <w:rFonts w:ascii="Arial" w:hAnsi="Arial" w:cs="Arial"/>
          <w:bCs/>
        </w:rPr>
        <w:t xml:space="preserve">von </w:t>
      </w:r>
      <w:r w:rsidR="00DC2CAC">
        <w:rPr>
          <w:rFonts w:ascii="Arial" w:hAnsi="Arial" w:cs="Arial"/>
          <w:bCs/>
        </w:rPr>
        <w:t xml:space="preserve">einer aktuellen Jahresnutzung (2020) von rund 5,58 Millionen Kubikmetern Holz sowie von </w:t>
      </w:r>
      <w:r w:rsidR="00D7318C">
        <w:rPr>
          <w:rFonts w:ascii="Arial" w:hAnsi="Arial" w:cs="Arial"/>
          <w:bCs/>
        </w:rPr>
        <w:t xml:space="preserve">einem zusätzlich nutzbaren Potential von noch </w:t>
      </w:r>
      <w:r w:rsidR="00DC2CAC">
        <w:rPr>
          <w:rFonts w:ascii="Arial" w:hAnsi="Arial" w:cs="Arial"/>
          <w:bCs/>
        </w:rPr>
        <w:t>mindestens 1,8</w:t>
      </w:r>
      <w:r w:rsidR="00D7318C">
        <w:rPr>
          <w:rFonts w:ascii="Arial" w:hAnsi="Arial" w:cs="Arial"/>
          <w:bCs/>
        </w:rPr>
        <w:t xml:space="preserve"> Millionen Kubikmetern Holz aus.</w:t>
      </w:r>
      <w:r w:rsidR="00E927A1">
        <w:rPr>
          <w:rFonts w:ascii="Arial" w:hAnsi="Arial" w:cs="Arial"/>
          <w:bCs/>
        </w:rPr>
        <w:t xml:space="preserve"> </w:t>
      </w:r>
      <w:r w:rsidR="00DC2CAC">
        <w:rPr>
          <w:rFonts w:ascii="Arial" w:hAnsi="Arial" w:cs="Arial"/>
          <w:bCs/>
        </w:rPr>
        <w:t>Nachfolgende Tabelle zeigt, aus welchen Quellen das Holz stammt</w:t>
      </w:r>
      <w:r w:rsidR="00E927A1">
        <w:rPr>
          <w:rFonts w:ascii="Arial" w:hAnsi="Arial" w:cs="Arial"/>
          <w:bCs/>
        </w:rPr>
        <w:t>:</w:t>
      </w:r>
    </w:p>
    <w:tbl>
      <w:tblPr>
        <w:tblStyle w:val="Tabellenraster"/>
        <w:tblW w:w="0" w:type="auto"/>
        <w:tblLook w:val="04A0" w:firstRow="1" w:lastRow="0" w:firstColumn="1" w:lastColumn="0" w:noHBand="0" w:noVBand="1"/>
      </w:tblPr>
      <w:tblGrid>
        <w:gridCol w:w="3561"/>
        <w:gridCol w:w="1821"/>
        <w:gridCol w:w="1701"/>
        <w:gridCol w:w="1979"/>
      </w:tblGrid>
      <w:tr w:rsidR="00C53B22" w14:paraId="3381CD56" w14:textId="77777777" w:rsidTr="00A72C73">
        <w:tc>
          <w:tcPr>
            <w:tcW w:w="3561" w:type="dxa"/>
          </w:tcPr>
          <w:p w14:paraId="511323F3" w14:textId="591448AB" w:rsidR="00C53B22" w:rsidRDefault="00C53B22">
            <w:pPr>
              <w:spacing w:after="160" w:line="259" w:lineRule="auto"/>
              <w:rPr>
                <w:rFonts w:ascii="Arial" w:hAnsi="Arial" w:cs="Arial"/>
                <w:bCs/>
              </w:rPr>
            </w:pPr>
          </w:p>
        </w:tc>
        <w:tc>
          <w:tcPr>
            <w:tcW w:w="1821" w:type="dxa"/>
          </w:tcPr>
          <w:p w14:paraId="234B5944" w14:textId="05C5EEE7" w:rsidR="00C53B22" w:rsidRDefault="00C53B22">
            <w:pPr>
              <w:spacing w:after="160" w:line="259" w:lineRule="auto"/>
              <w:rPr>
                <w:rFonts w:ascii="Arial" w:hAnsi="Arial" w:cs="Arial"/>
                <w:bCs/>
              </w:rPr>
            </w:pPr>
            <w:r>
              <w:rPr>
                <w:rFonts w:ascii="Arial" w:hAnsi="Arial" w:cs="Arial"/>
                <w:bCs/>
              </w:rPr>
              <w:t>Nutzung 2020</w:t>
            </w:r>
          </w:p>
        </w:tc>
        <w:tc>
          <w:tcPr>
            <w:tcW w:w="1701" w:type="dxa"/>
          </w:tcPr>
          <w:p w14:paraId="465BAA84" w14:textId="29D05F92" w:rsidR="00C53B22" w:rsidRDefault="00C53B22">
            <w:pPr>
              <w:spacing w:after="160" w:line="259" w:lineRule="auto"/>
              <w:rPr>
                <w:rFonts w:ascii="Arial" w:hAnsi="Arial" w:cs="Arial"/>
                <w:bCs/>
              </w:rPr>
            </w:pPr>
            <w:r>
              <w:rPr>
                <w:rFonts w:ascii="Arial" w:hAnsi="Arial" w:cs="Arial"/>
                <w:bCs/>
              </w:rPr>
              <w:t>Gesamtes Potential</w:t>
            </w:r>
          </w:p>
        </w:tc>
        <w:tc>
          <w:tcPr>
            <w:tcW w:w="1979" w:type="dxa"/>
          </w:tcPr>
          <w:p w14:paraId="665705AE" w14:textId="2F7FA4F0" w:rsidR="00C53B22" w:rsidRDefault="00C53B22">
            <w:pPr>
              <w:spacing w:after="160" w:line="259" w:lineRule="auto"/>
              <w:rPr>
                <w:rFonts w:ascii="Arial" w:hAnsi="Arial" w:cs="Arial"/>
                <w:bCs/>
              </w:rPr>
            </w:pPr>
            <w:r>
              <w:rPr>
                <w:rFonts w:ascii="Arial" w:hAnsi="Arial" w:cs="Arial"/>
                <w:bCs/>
              </w:rPr>
              <w:t>Zusätzlich nutz</w:t>
            </w:r>
            <w:r w:rsidR="008D06C3">
              <w:rPr>
                <w:rFonts w:ascii="Arial" w:hAnsi="Arial" w:cs="Arial"/>
                <w:bCs/>
              </w:rPr>
              <w:t>-</w:t>
            </w:r>
            <w:r>
              <w:rPr>
                <w:rFonts w:ascii="Arial" w:hAnsi="Arial" w:cs="Arial"/>
                <w:bCs/>
              </w:rPr>
              <w:t xml:space="preserve">bares Potential </w:t>
            </w:r>
          </w:p>
        </w:tc>
      </w:tr>
      <w:tr w:rsidR="00C53B22" w14:paraId="08F8A336" w14:textId="77777777" w:rsidTr="00A72C73">
        <w:tc>
          <w:tcPr>
            <w:tcW w:w="3561" w:type="dxa"/>
          </w:tcPr>
          <w:p w14:paraId="0D363C77" w14:textId="202D9CAD" w:rsidR="00C53B22" w:rsidRDefault="004A2E7B">
            <w:pPr>
              <w:spacing w:after="160" w:line="259" w:lineRule="auto"/>
              <w:rPr>
                <w:rFonts w:ascii="Arial" w:hAnsi="Arial" w:cs="Arial"/>
                <w:bCs/>
              </w:rPr>
            </w:pPr>
            <w:r>
              <w:rPr>
                <w:rFonts w:ascii="Arial" w:hAnsi="Arial" w:cs="Arial"/>
                <w:bCs/>
              </w:rPr>
              <w:t>Holzkat</w:t>
            </w:r>
            <w:r w:rsidR="00DE2243">
              <w:rPr>
                <w:rFonts w:ascii="Arial" w:hAnsi="Arial" w:cs="Arial"/>
                <w:bCs/>
              </w:rPr>
              <w:t>e</w:t>
            </w:r>
            <w:r>
              <w:rPr>
                <w:rFonts w:ascii="Arial" w:hAnsi="Arial" w:cs="Arial"/>
                <w:bCs/>
              </w:rPr>
              <w:t>gorie</w:t>
            </w:r>
          </w:p>
        </w:tc>
        <w:tc>
          <w:tcPr>
            <w:tcW w:w="1821" w:type="dxa"/>
          </w:tcPr>
          <w:p w14:paraId="74BA5DB2" w14:textId="38DBB001" w:rsidR="00C53B22" w:rsidRDefault="004A2E7B" w:rsidP="00C53B22">
            <w:pPr>
              <w:spacing w:after="160" w:line="259" w:lineRule="auto"/>
              <w:jc w:val="center"/>
              <w:rPr>
                <w:rFonts w:ascii="Arial" w:hAnsi="Arial" w:cs="Arial"/>
                <w:bCs/>
              </w:rPr>
            </w:pPr>
            <w:r w:rsidRPr="004A2E7B">
              <w:rPr>
                <w:rFonts w:ascii="Arial" w:hAnsi="Arial" w:cs="Arial"/>
                <w:bCs/>
              </w:rPr>
              <w:t>[m</w:t>
            </w:r>
            <w:r w:rsidRPr="004A2E7B">
              <w:rPr>
                <w:rFonts w:ascii="Arial" w:hAnsi="Arial" w:cs="Arial"/>
                <w:bCs/>
                <w:vertAlign w:val="superscript"/>
              </w:rPr>
              <w:t>3</w:t>
            </w:r>
            <w:r w:rsidRPr="004A2E7B">
              <w:rPr>
                <w:rFonts w:ascii="Arial" w:hAnsi="Arial" w:cs="Arial"/>
                <w:bCs/>
              </w:rPr>
              <w:t>/a]</w:t>
            </w:r>
            <w:r>
              <w:rPr>
                <w:rFonts w:ascii="Arial" w:hAnsi="Arial" w:cs="Arial"/>
                <w:bCs/>
                <w:vertAlign w:val="superscript"/>
              </w:rPr>
              <w:t xml:space="preserve"> </w:t>
            </w:r>
          </w:p>
        </w:tc>
        <w:tc>
          <w:tcPr>
            <w:tcW w:w="1701" w:type="dxa"/>
          </w:tcPr>
          <w:p w14:paraId="2CA965E8" w14:textId="19496070" w:rsidR="00C53B22" w:rsidRDefault="004A2E7B" w:rsidP="00C53B22">
            <w:pPr>
              <w:spacing w:after="160" w:line="259" w:lineRule="auto"/>
              <w:jc w:val="center"/>
              <w:rPr>
                <w:rFonts w:ascii="Arial" w:hAnsi="Arial" w:cs="Arial"/>
                <w:bCs/>
              </w:rPr>
            </w:pPr>
            <w:r w:rsidRPr="004A2E7B">
              <w:rPr>
                <w:rFonts w:ascii="Arial" w:hAnsi="Arial" w:cs="Arial"/>
                <w:bCs/>
              </w:rPr>
              <w:t>[m</w:t>
            </w:r>
            <w:r w:rsidRPr="004A2E7B">
              <w:rPr>
                <w:rFonts w:ascii="Arial" w:hAnsi="Arial" w:cs="Arial"/>
                <w:bCs/>
                <w:vertAlign w:val="superscript"/>
              </w:rPr>
              <w:t>3</w:t>
            </w:r>
            <w:r w:rsidRPr="004A2E7B">
              <w:rPr>
                <w:rFonts w:ascii="Arial" w:hAnsi="Arial" w:cs="Arial"/>
                <w:bCs/>
              </w:rPr>
              <w:t>/a]</w:t>
            </w:r>
          </w:p>
        </w:tc>
        <w:tc>
          <w:tcPr>
            <w:tcW w:w="1979" w:type="dxa"/>
          </w:tcPr>
          <w:p w14:paraId="79B75303" w14:textId="1BCD3B39" w:rsidR="00C53B22" w:rsidRDefault="004A2E7B" w:rsidP="00C53B22">
            <w:pPr>
              <w:spacing w:after="160" w:line="259" w:lineRule="auto"/>
              <w:jc w:val="center"/>
              <w:rPr>
                <w:rFonts w:ascii="Arial" w:hAnsi="Arial" w:cs="Arial"/>
                <w:bCs/>
              </w:rPr>
            </w:pPr>
            <w:r w:rsidRPr="004A2E7B">
              <w:rPr>
                <w:rFonts w:ascii="Arial" w:hAnsi="Arial" w:cs="Arial"/>
                <w:bCs/>
              </w:rPr>
              <w:t>[m</w:t>
            </w:r>
            <w:r w:rsidRPr="004A2E7B">
              <w:rPr>
                <w:rFonts w:ascii="Arial" w:hAnsi="Arial" w:cs="Arial"/>
                <w:bCs/>
                <w:vertAlign w:val="superscript"/>
              </w:rPr>
              <w:t>3</w:t>
            </w:r>
            <w:r w:rsidRPr="004A2E7B">
              <w:rPr>
                <w:rFonts w:ascii="Arial" w:hAnsi="Arial" w:cs="Arial"/>
                <w:bCs/>
              </w:rPr>
              <w:t>/a]</w:t>
            </w:r>
          </w:p>
        </w:tc>
      </w:tr>
      <w:tr w:rsidR="00A72C73" w14:paraId="15B70339" w14:textId="77777777" w:rsidTr="00A72C73">
        <w:tc>
          <w:tcPr>
            <w:tcW w:w="3561" w:type="dxa"/>
          </w:tcPr>
          <w:p w14:paraId="15AF3004" w14:textId="4F92A70E" w:rsidR="00A72C73" w:rsidRDefault="00A72C73">
            <w:pPr>
              <w:spacing w:after="160" w:line="259" w:lineRule="auto"/>
              <w:rPr>
                <w:rFonts w:ascii="Arial" w:hAnsi="Arial" w:cs="Arial"/>
                <w:bCs/>
              </w:rPr>
            </w:pPr>
            <w:r>
              <w:rPr>
                <w:rFonts w:ascii="Arial" w:hAnsi="Arial" w:cs="Arial"/>
                <w:bCs/>
              </w:rPr>
              <w:t>Waldholz</w:t>
            </w:r>
          </w:p>
        </w:tc>
        <w:tc>
          <w:tcPr>
            <w:tcW w:w="1821" w:type="dxa"/>
          </w:tcPr>
          <w:p w14:paraId="16A4652E" w14:textId="2AFC8D3B" w:rsidR="00A72C73" w:rsidRDefault="00A72C73" w:rsidP="00A72C73">
            <w:pPr>
              <w:spacing w:after="160" w:line="259" w:lineRule="auto"/>
              <w:ind w:right="284"/>
              <w:jc w:val="right"/>
              <w:rPr>
                <w:rFonts w:ascii="Arial" w:hAnsi="Arial" w:cs="Arial"/>
                <w:bCs/>
              </w:rPr>
            </w:pPr>
            <w:r>
              <w:rPr>
                <w:rFonts w:ascii="Arial" w:hAnsi="Arial" w:cs="Arial"/>
                <w:bCs/>
              </w:rPr>
              <w:t>2'830’000</w:t>
            </w:r>
          </w:p>
        </w:tc>
        <w:tc>
          <w:tcPr>
            <w:tcW w:w="1701" w:type="dxa"/>
          </w:tcPr>
          <w:p w14:paraId="1020E081" w14:textId="67595900" w:rsidR="00A72C73" w:rsidRDefault="00C53B22" w:rsidP="00A72C73">
            <w:pPr>
              <w:spacing w:after="160" w:line="259" w:lineRule="auto"/>
              <w:ind w:right="284"/>
              <w:jc w:val="right"/>
              <w:rPr>
                <w:rFonts w:ascii="Arial" w:hAnsi="Arial" w:cs="Arial"/>
                <w:bCs/>
              </w:rPr>
            </w:pPr>
            <w:r>
              <w:rPr>
                <w:rFonts w:ascii="Arial" w:hAnsi="Arial" w:cs="Arial"/>
                <w:bCs/>
              </w:rPr>
              <w:t>4'150’000</w:t>
            </w:r>
          </w:p>
        </w:tc>
        <w:tc>
          <w:tcPr>
            <w:tcW w:w="1979" w:type="dxa"/>
          </w:tcPr>
          <w:p w14:paraId="7CD1BFC6" w14:textId="2D089BCC" w:rsidR="00A72C73" w:rsidRDefault="00C53B22" w:rsidP="00A72C73">
            <w:pPr>
              <w:spacing w:after="160" w:line="259" w:lineRule="auto"/>
              <w:ind w:right="284"/>
              <w:jc w:val="right"/>
              <w:rPr>
                <w:rFonts w:ascii="Arial" w:hAnsi="Arial" w:cs="Arial"/>
                <w:bCs/>
              </w:rPr>
            </w:pPr>
            <w:r>
              <w:rPr>
                <w:rFonts w:ascii="Arial" w:hAnsi="Arial" w:cs="Arial"/>
                <w:bCs/>
              </w:rPr>
              <w:t>1'320’000</w:t>
            </w:r>
          </w:p>
        </w:tc>
      </w:tr>
      <w:tr w:rsidR="00A72C73" w14:paraId="7C31E647" w14:textId="77777777" w:rsidTr="00A72C73">
        <w:tc>
          <w:tcPr>
            <w:tcW w:w="3561" w:type="dxa"/>
          </w:tcPr>
          <w:p w14:paraId="5F0D52F5" w14:textId="2AFA0066" w:rsidR="00A72C73" w:rsidRDefault="00A72C73">
            <w:pPr>
              <w:spacing w:after="160" w:line="259" w:lineRule="auto"/>
              <w:rPr>
                <w:rFonts w:ascii="Arial" w:hAnsi="Arial" w:cs="Arial"/>
                <w:bCs/>
              </w:rPr>
            </w:pPr>
            <w:r>
              <w:rPr>
                <w:rFonts w:ascii="Arial" w:hAnsi="Arial" w:cs="Arial"/>
                <w:bCs/>
              </w:rPr>
              <w:t>Landschaftsholz (Feldgehölze, Hecken, Gartengehölze)</w:t>
            </w:r>
          </w:p>
        </w:tc>
        <w:tc>
          <w:tcPr>
            <w:tcW w:w="1821" w:type="dxa"/>
          </w:tcPr>
          <w:p w14:paraId="596F533B" w14:textId="2AD8B872" w:rsidR="00A72C73" w:rsidRDefault="00A72C73" w:rsidP="00A72C73">
            <w:pPr>
              <w:spacing w:after="160" w:line="259" w:lineRule="auto"/>
              <w:ind w:right="284"/>
              <w:jc w:val="right"/>
              <w:rPr>
                <w:rFonts w:ascii="Arial" w:hAnsi="Arial" w:cs="Arial"/>
                <w:bCs/>
              </w:rPr>
            </w:pPr>
            <w:r>
              <w:rPr>
                <w:rFonts w:ascii="Arial" w:hAnsi="Arial" w:cs="Arial"/>
                <w:bCs/>
              </w:rPr>
              <w:t>270’000</w:t>
            </w:r>
          </w:p>
        </w:tc>
        <w:tc>
          <w:tcPr>
            <w:tcW w:w="1701" w:type="dxa"/>
          </w:tcPr>
          <w:p w14:paraId="48AC05CA" w14:textId="6CAE77BE" w:rsidR="00A72C73" w:rsidRDefault="00C53B22" w:rsidP="00A72C73">
            <w:pPr>
              <w:spacing w:after="160" w:line="259" w:lineRule="auto"/>
              <w:ind w:right="284"/>
              <w:jc w:val="right"/>
              <w:rPr>
                <w:rFonts w:ascii="Arial" w:hAnsi="Arial" w:cs="Arial"/>
                <w:bCs/>
              </w:rPr>
            </w:pPr>
            <w:r>
              <w:rPr>
                <w:rFonts w:ascii="Arial" w:hAnsi="Arial" w:cs="Arial"/>
                <w:bCs/>
              </w:rPr>
              <w:t>500’000</w:t>
            </w:r>
          </w:p>
        </w:tc>
        <w:tc>
          <w:tcPr>
            <w:tcW w:w="1979" w:type="dxa"/>
          </w:tcPr>
          <w:p w14:paraId="1D345873" w14:textId="0FD22092" w:rsidR="00A72C73" w:rsidRDefault="00C53B22" w:rsidP="00A72C73">
            <w:pPr>
              <w:spacing w:after="160" w:line="259" w:lineRule="auto"/>
              <w:ind w:right="284"/>
              <w:jc w:val="right"/>
              <w:rPr>
                <w:rFonts w:ascii="Arial" w:hAnsi="Arial" w:cs="Arial"/>
                <w:bCs/>
              </w:rPr>
            </w:pPr>
            <w:r>
              <w:rPr>
                <w:rFonts w:ascii="Arial" w:hAnsi="Arial" w:cs="Arial"/>
                <w:bCs/>
              </w:rPr>
              <w:t>230’000</w:t>
            </w:r>
          </w:p>
        </w:tc>
      </w:tr>
      <w:tr w:rsidR="00A72C73" w14:paraId="4B334706" w14:textId="77777777" w:rsidTr="00A72C73">
        <w:tc>
          <w:tcPr>
            <w:tcW w:w="3561" w:type="dxa"/>
          </w:tcPr>
          <w:p w14:paraId="29035197" w14:textId="0DDE7916" w:rsidR="00A72C73" w:rsidRDefault="00A72C73">
            <w:pPr>
              <w:spacing w:after="160" w:line="259" w:lineRule="auto"/>
              <w:rPr>
                <w:rFonts w:ascii="Arial" w:hAnsi="Arial" w:cs="Arial"/>
                <w:bCs/>
              </w:rPr>
            </w:pPr>
            <w:r>
              <w:rPr>
                <w:rFonts w:ascii="Arial" w:hAnsi="Arial" w:cs="Arial"/>
                <w:bCs/>
              </w:rPr>
              <w:t>Restholz</w:t>
            </w:r>
          </w:p>
        </w:tc>
        <w:tc>
          <w:tcPr>
            <w:tcW w:w="1821" w:type="dxa"/>
          </w:tcPr>
          <w:p w14:paraId="013B381B" w14:textId="6718AD20" w:rsidR="00A72C73" w:rsidRDefault="00A72C73" w:rsidP="00A72C73">
            <w:pPr>
              <w:spacing w:after="160" w:line="259" w:lineRule="auto"/>
              <w:ind w:right="284"/>
              <w:jc w:val="right"/>
              <w:rPr>
                <w:rFonts w:ascii="Arial" w:hAnsi="Arial" w:cs="Arial"/>
                <w:bCs/>
              </w:rPr>
            </w:pPr>
            <w:r>
              <w:rPr>
                <w:rFonts w:ascii="Arial" w:hAnsi="Arial" w:cs="Arial"/>
                <w:bCs/>
              </w:rPr>
              <w:t>1'410’000</w:t>
            </w:r>
          </w:p>
        </w:tc>
        <w:tc>
          <w:tcPr>
            <w:tcW w:w="1701" w:type="dxa"/>
            <w:vMerge w:val="restart"/>
          </w:tcPr>
          <w:p w14:paraId="2CF4AB88" w14:textId="29C7E550" w:rsidR="00A72C73" w:rsidRDefault="00A72C73" w:rsidP="00A72C73">
            <w:pPr>
              <w:spacing w:after="160" w:line="259" w:lineRule="auto"/>
              <w:ind w:right="284"/>
              <w:jc w:val="right"/>
              <w:rPr>
                <w:rFonts w:ascii="Arial" w:hAnsi="Arial" w:cs="Arial"/>
                <w:bCs/>
              </w:rPr>
            </w:pPr>
            <w:r>
              <w:rPr>
                <w:rFonts w:ascii="Arial" w:hAnsi="Arial" w:cs="Arial"/>
                <w:bCs/>
              </w:rPr>
              <w:br/>
              <w:t>2'750’000</w:t>
            </w:r>
          </w:p>
        </w:tc>
        <w:tc>
          <w:tcPr>
            <w:tcW w:w="1979" w:type="dxa"/>
            <w:vMerge w:val="restart"/>
          </w:tcPr>
          <w:p w14:paraId="7F5DC3F3" w14:textId="6978AF0E" w:rsidR="00A72C73" w:rsidRDefault="00A72C73" w:rsidP="00A72C73">
            <w:pPr>
              <w:spacing w:after="160" w:line="259" w:lineRule="auto"/>
              <w:ind w:right="284"/>
              <w:jc w:val="right"/>
              <w:rPr>
                <w:rFonts w:ascii="Arial" w:hAnsi="Arial" w:cs="Arial"/>
                <w:bCs/>
              </w:rPr>
            </w:pPr>
            <w:r>
              <w:rPr>
                <w:rFonts w:ascii="Arial" w:hAnsi="Arial" w:cs="Arial"/>
                <w:bCs/>
              </w:rPr>
              <w:br/>
              <w:t>270’000</w:t>
            </w:r>
          </w:p>
        </w:tc>
      </w:tr>
      <w:tr w:rsidR="00A72C73" w14:paraId="7A94BABE" w14:textId="77777777" w:rsidTr="00A72C73">
        <w:tc>
          <w:tcPr>
            <w:tcW w:w="3561" w:type="dxa"/>
          </w:tcPr>
          <w:p w14:paraId="38E94E98" w14:textId="5BE09E53" w:rsidR="00A72C73" w:rsidRDefault="00A72C73">
            <w:pPr>
              <w:spacing w:after="160" w:line="259" w:lineRule="auto"/>
              <w:rPr>
                <w:rFonts w:ascii="Arial" w:hAnsi="Arial" w:cs="Arial"/>
                <w:bCs/>
              </w:rPr>
            </w:pPr>
            <w:r>
              <w:rPr>
                <w:rFonts w:ascii="Arial" w:hAnsi="Arial" w:cs="Arial"/>
                <w:bCs/>
              </w:rPr>
              <w:t>Altholz</w:t>
            </w:r>
          </w:p>
        </w:tc>
        <w:tc>
          <w:tcPr>
            <w:tcW w:w="1821" w:type="dxa"/>
          </w:tcPr>
          <w:p w14:paraId="6978F87B" w14:textId="0D961387" w:rsidR="00A72C73" w:rsidRDefault="00A72C73" w:rsidP="00A72C73">
            <w:pPr>
              <w:spacing w:after="160" w:line="259" w:lineRule="auto"/>
              <w:ind w:right="284"/>
              <w:jc w:val="right"/>
              <w:rPr>
                <w:rFonts w:ascii="Arial" w:hAnsi="Arial" w:cs="Arial"/>
                <w:bCs/>
              </w:rPr>
            </w:pPr>
            <w:r>
              <w:rPr>
                <w:rFonts w:ascii="Arial" w:hAnsi="Arial" w:cs="Arial"/>
                <w:bCs/>
              </w:rPr>
              <w:t>1'070’000</w:t>
            </w:r>
          </w:p>
        </w:tc>
        <w:tc>
          <w:tcPr>
            <w:tcW w:w="1701" w:type="dxa"/>
            <w:vMerge/>
          </w:tcPr>
          <w:p w14:paraId="60E169AA" w14:textId="77777777" w:rsidR="00A72C73" w:rsidRDefault="00A72C73" w:rsidP="00A72C73">
            <w:pPr>
              <w:spacing w:after="160" w:line="259" w:lineRule="auto"/>
              <w:ind w:right="284"/>
              <w:jc w:val="right"/>
              <w:rPr>
                <w:rFonts w:ascii="Arial" w:hAnsi="Arial" w:cs="Arial"/>
                <w:bCs/>
              </w:rPr>
            </w:pPr>
          </w:p>
        </w:tc>
        <w:tc>
          <w:tcPr>
            <w:tcW w:w="1979" w:type="dxa"/>
            <w:vMerge/>
          </w:tcPr>
          <w:p w14:paraId="429F7693" w14:textId="77777777" w:rsidR="00A72C73" w:rsidRDefault="00A72C73" w:rsidP="00A72C73">
            <w:pPr>
              <w:spacing w:after="160" w:line="259" w:lineRule="auto"/>
              <w:ind w:right="284"/>
              <w:jc w:val="right"/>
              <w:rPr>
                <w:rFonts w:ascii="Arial" w:hAnsi="Arial" w:cs="Arial"/>
                <w:bCs/>
              </w:rPr>
            </w:pPr>
          </w:p>
        </w:tc>
      </w:tr>
      <w:tr w:rsidR="00A72C73" w14:paraId="780C33E5" w14:textId="77777777" w:rsidTr="00A72C73">
        <w:tc>
          <w:tcPr>
            <w:tcW w:w="3561" w:type="dxa"/>
          </w:tcPr>
          <w:p w14:paraId="093893DD" w14:textId="0C8B69D6" w:rsidR="00A72C73" w:rsidRDefault="00A72C73">
            <w:pPr>
              <w:spacing w:after="160" w:line="259" w:lineRule="auto"/>
              <w:rPr>
                <w:rFonts w:ascii="Arial" w:hAnsi="Arial" w:cs="Arial"/>
                <w:bCs/>
              </w:rPr>
            </w:pPr>
            <w:r>
              <w:rPr>
                <w:rFonts w:ascii="Arial" w:hAnsi="Arial" w:cs="Arial"/>
                <w:bCs/>
              </w:rPr>
              <w:t>Total</w:t>
            </w:r>
          </w:p>
        </w:tc>
        <w:tc>
          <w:tcPr>
            <w:tcW w:w="1821" w:type="dxa"/>
          </w:tcPr>
          <w:p w14:paraId="61A67C7D" w14:textId="2A233CB5" w:rsidR="00A72C73" w:rsidRDefault="00C53B22" w:rsidP="00A72C73">
            <w:pPr>
              <w:spacing w:after="160" w:line="259" w:lineRule="auto"/>
              <w:ind w:right="284"/>
              <w:jc w:val="right"/>
              <w:rPr>
                <w:rFonts w:ascii="Arial" w:hAnsi="Arial" w:cs="Arial"/>
                <w:bCs/>
              </w:rPr>
            </w:pPr>
            <w:r>
              <w:rPr>
                <w:rFonts w:ascii="Arial" w:hAnsi="Arial" w:cs="Arial"/>
                <w:bCs/>
              </w:rPr>
              <w:t>5'580’000</w:t>
            </w:r>
          </w:p>
        </w:tc>
        <w:tc>
          <w:tcPr>
            <w:tcW w:w="1701" w:type="dxa"/>
          </w:tcPr>
          <w:p w14:paraId="668F0837" w14:textId="2F26BC26" w:rsidR="00A72C73" w:rsidRDefault="00C53B22" w:rsidP="00A72C73">
            <w:pPr>
              <w:spacing w:after="160" w:line="259" w:lineRule="auto"/>
              <w:ind w:right="284"/>
              <w:jc w:val="right"/>
              <w:rPr>
                <w:rFonts w:ascii="Arial" w:hAnsi="Arial" w:cs="Arial"/>
                <w:bCs/>
              </w:rPr>
            </w:pPr>
            <w:r>
              <w:rPr>
                <w:rFonts w:ascii="Arial" w:hAnsi="Arial" w:cs="Arial"/>
                <w:bCs/>
              </w:rPr>
              <w:t>7'400’000</w:t>
            </w:r>
          </w:p>
        </w:tc>
        <w:tc>
          <w:tcPr>
            <w:tcW w:w="1979" w:type="dxa"/>
          </w:tcPr>
          <w:p w14:paraId="5A8D413A" w14:textId="781995C3" w:rsidR="00A72C73" w:rsidRDefault="00C53B22" w:rsidP="00A72C73">
            <w:pPr>
              <w:spacing w:after="160" w:line="259" w:lineRule="auto"/>
              <w:ind w:right="284"/>
              <w:jc w:val="right"/>
              <w:rPr>
                <w:rFonts w:ascii="Arial" w:hAnsi="Arial" w:cs="Arial"/>
                <w:bCs/>
              </w:rPr>
            </w:pPr>
            <w:r>
              <w:rPr>
                <w:rFonts w:ascii="Arial" w:hAnsi="Arial" w:cs="Arial"/>
                <w:bCs/>
              </w:rPr>
              <w:t>1'820’000</w:t>
            </w:r>
          </w:p>
        </w:tc>
      </w:tr>
    </w:tbl>
    <w:p w14:paraId="07213F53" w14:textId="53EE01B3" w:rsidR="00D7318C" w:rsidRDefault="00D7318C">
      <w:pPr>
        <w:spacing w:after="160" w:line="259" w:lineRule="auto"/>
        <w:rPr>
          <w:rFonts w:ascii="Arial" w:hAnsi="Arial" w:cs="Arial"/>
          <w:bCs/>
        </w:rPr>
      </w:pPr>
    </w:p>
    <w:p w14:paraId="57432D13" w14:textId="29A2527C" w:rsidR="00565FA4" w:rsidRDefault="00051E2A">
      <w:pPr>
        <w:spacing w:after="160" w:line="259" w:lineRule="auto"/>
        <w:rPr>
          <w:rFonts w:ascii="Arial" w:hAnsi="Arial" w:cs="Arial"/>
          <w:bCs/>
        </w:rPr>
      </w:pPr>
      <w:r>
        <w:rPr>
          <w:rFonts w:ascii="Arial" w:hAnsi="Arial" w:cs="Arial"/>
          <w:bCs/>
        </w:rPr>
        <w:t xml:space="preserve">Die </w:t>
      </w:r>
      <w:r w:rsidR="00135FB3">
        <w:rPr>
          <w:rFonts w:ascii="Arial" w:hAnsi="Arial" w:cs="Arial"/>
          <w:bCs/>
        </w:rPr>
        <w:t>aktuelle</w:t>
      </w:r>
      <w:r>
        <w:rPr>
          <w:rFonts w:ascii="Arial" w:hAnsi="Arial" w:cs="Arial"/>
          <w:bCs/>
        </w:rPr>
        <w:t xml:space="preserve"> Energieholznutzung </w:t>
      </w:r>
      <w:r w:rsidR="00565FA4">
        <w:rPr>
          <w:rFonts w:ascii="Arial" w:hAnsi="Arial" w:cs="Arial"/>
          <w:bCs/>
        </w:rPr>
        <w:t>lässt</w:t>
      </w:r>
      <w:r>
        <w:rPr>
          <w:rFonts w:ascii="Arial" w:hAnsi="Arial" w:cs="Arial"/>
          <w:bCs/>
        </w:rPr>
        <w:t xml:space="preserve"> sich noch um rund einen Drittel erhöhen.</w:t>
      </w:r>
      <w:r w:rsidR="00135FB3">
        <w:rPr>
          <w:rFonts w:ascii="Arial" w:hAnsi="Arial" w:cs="Arial"/>
          <w:bCs/>
        </w:rPr>
        <w:t xml:space="preserve"> Der Anteil der Holzenergie am Schweizerischen Wärmeenergiemarkt würde dadurch von heute 12 auf etwa 16 Prozent steigen. </w:t>
      </w:r>
      <w:r w:rsidR="00565FA4">
        <w:rPr>
          <w:rFonts w:ascii="Arial" w:hAnsi="Arial" w:cs="Arial"/>
          <w:bCs/>
        </w:rPr>
        <w:t xml:space="preserve">Dazu kommt noch ein weiterer, willkommener Effekt: </w:t>
      </w:r>
      <w:r w:rsidR="00135FB3">
        <w:rPr>
          <w:rFonts w:ascii="Arial" w:hAnsi="Arial" w:cs="Arial"/>
          <w:bCs/>
        </w:rPr>
        <w:t xml:space="preserve">Dank griffiger Programme zur Steigerung der Energieeffizienz sinkt der Energiebedarf der Gebäude in den nächsten Jahrzehnten. </w:t>
      </w:r>
      <w:r w:rsidR="00565FA4">
        <w:rPr>
          <w:rFonts w:ascii="Arial" w:hAnsi="Arial" w:cs="Arial"/>
          <w:bCs/>
        </w:rPr>
        <w:t>Die</w:t>
      </w:r>
      <w:r w:rsidR="00135FB3">
        <w:rPr>
          <w:rFonts w:ascii="Arial" w:hAnsi="Arial" w:cs="Arial"/>
          <w:bCs/>
        </w:rPr>
        <w:t xml:space="preserve"> verfügbare </w:t>
      </w:r>
      <w:r w:rsidR="00565FA4">
        <w:rPr>
          <w:rFonts w:ascii="Arial" w:hAnsi="Arial" w:cs="Arial"/>
          <w:bCs/>
        </w:rPr>
        <w:t>Menge an Energieholz kann</w:t>
      </w:r>
      <w:r w:rsidR="00135FB3">
        <w:rPr>
          <w:rFonts w:ascii="Arial" w:hAnsi="Arial" w:cs="Arial"/>
          <w:bCs/>
        </w:rPr>
        <w:t xml:space="preserve"> </w:t>
      </w:r>
      <w:r w:rsidR="00565FA4">
        <w:rPr>
          <w:rFonts w:ascii="Arial" w:hAnsi="Arial" w:cs="Arial"/>
          <w:bCs/>
        </w:rPr>
        <w:t>dank besser isolierten Gebäudehüllen</w:t>
      </w:r>
      <w:r w:rsidR="00135FB3">
        <w:rPr>
          <w:rFonts w:ascii="Arial" w:hAnsi="Arial" w:cs="Arial"/>
          <w:bCs/>
        </w:rPr>
        <w:t xml:space="preserve"> ein</w:t>
      </w:r>
      <w:r w:rsidR="00565FA4">
        <w:rPr>
          <w:rFonts w:ascii="Arial" w:hAnsi="Arial" w:cs="Arial"/>
          <w:bCs/>
        </w:rPr>
        <w:t>en</w:t>
      </w:r>
      <w:r w:rsidR="00135FB3">
        <w:rPr>
          <w:rFonts w:ascii="Arial" w:hAnsi="Arial" w:cs="Arial"/>
          <w:bCs/>
        </w:rPr>
        <w:t xml:space="preserve"> noch </w:t>
      </w:r>
      <w:r w:rsidR="00565FA4">
        <w:rPr>
          <w:rFonts w:ascii="Arial" w:hAnsi="Arial" w:cs="Arial"/>
          <w:bCs/>
        </w:rPr>
        <w:t xml:space="preserve">deutlich </w:t>
      </w:r>
      <w:r w:rsidR="00135FB3">
        <w:rPr>
          <w:rFonts w:ascii="Arial" w:hAnsi="Arial" w:cs="Arial"/>
          <w:bCs/>
        </w:rPr>
        <w:t>höhere</w:t>
      </w:r>
      <w:r w:rsidR="00565FA4">
        <w:rPr>
          <w:rFonts w:ascii="Arial" w:hAnsi="Arial" w:cs="Arial"/>
          <w:bCs/>
        </w:rPr>
        <w:t>n</w:t>
      </w:r>
      <w:r w:rsidR="00135FB3">
        <w:rPr>
          <w:rFonts w:ascii="Arial" w:hAnsi="Arial" w:cs="Arial"/>
          <w:bCs/>
        </w:rPr>
        <w:t xml:space="preserve"> Anteil </w:t>
      </w:r>
      <w:r w:rsidR="00565FA4">
        <w:rPr>
          <w:rFonts w:ascii="Arial" w:hAnsi="Arial" w:cs="Arial"/>
          <w:bCs/>
        </w:rPr>
        <w:t>am Wärmemarkt erreichen.</w:t>
      </w:r>
      <w:r w:rsidR="00135FB3">
        <w:rPr>
          <w:rFonts w:ascii="Arial" w:hAnsi="Arial" w:cs="Arial"/>
          <w:bCs/>
        </w:rPr>
        <w:t xml:space="preserve"> </w:t>
      </w:r>
    </w:p>
    <w:p w14:paraId="05F17950" w14:textId="161F048B" w:rsidR="00135FB3" w:rsidRPr="00702857" w:rsidRDefault="00702857">
      <w:pPr>
        <w:spacing w:after="160" w:line="259" w:lineRule="auto"/>
        <w:rPr>
          <w:rFonts w:ascii="Arial" w:hAnsi="Arial" w:cs="Arial"/>
          <w:b/>
        </w:rPr>
      </w:pPr>
      <w:r w:rsidRPr="00702857">
        <w:rPr>
          <w:rFonts w:ascii="Arial" w:hAnsi="Arial" w:cs="Arial"/>
          <w:b/>
        </w:rPr>
        <w:t>Stückholz, Schnitzel oder Pellets?</w:t>
      </w:r>
    </w:p>
    <w:p w14:paraId="0D0931C8" w14:textId="1C16D575" w:rsidR="00702857" w:rsidRDefault="005A6D54">
      <w:pPr>
        <w:spacing w:after="160" w:line="259" w:lineRule="auto"/>
        <w:rPr>
          <w:rFonts w:ascii="Arial" w:hAnsi="Arial" w:cs="Arial"/>
          <w:bCs/>
        </w:rPr>
      </w:pPr>
      <w:r>
        <w:rPr>
          <w:rFonts w:ascii="Arial" w:hAnsi="Arial" w:cs="Arial"/>
          <w:bCs/>
        </w:rPr>
        <w:t>Energieholz ist in drei Formen verfügbar, die ein sehr breites Einsatzspektrum erlauben. Stückholz in Form von Scheitern oder Spälten eignet sich für alle Formen der Wohnraumfeuerungen sowie für Stückholz-Zentralheizungskessel. Holzhackschnitzel kommen in Schnitzelfeuerungen zum Einsatz und eignen sich für die Beheizung grösserer Gebäude</w:t>
      </w:r>
      <w:r w:rsidR="00CD3632">
        <w:rPr>
          <w:rFonts w:ascii="Arial" w:hAnsi="Arial" w:cs="Arial"/>
          <w:bCs/>
        </w:rPr>
        <w:t xml:space="preserve"> oder</w:t>
      </w:r>
      <w:r>
        <w:rPr>
          <w:rFonts w:ascii="Arial" w:hAnsi="Arial" w:cs="Arial"/>
          <w:bCs/>
        </w:rPr>
        <w:t xml:space="preserve"> ganzer Wärmenetze. Pellets schliesslich sind der Brennstoff für die verschiedenen Kategorien der Pelletheizungen, von der Kleinanlage im Wohnraum bis zur Zentralheizung für Mehrfamilienhäuser. </w:t>
      </w:r>
      <w:r w:rsidR="00CD3632">
        <w:rPr>
          <w:rFonts w:ascii="Arial" w:hAnsi="Arial" w:cs="Arial"/>
          <w:bCs/>
        </w:rPr>
        <w:t>Alle drei Formen des Energieholzes habe</w:t>
      </w:r>
      <w:r w:rsidR="00B26536">
        <w:rPr>
          <w:rFonts w:ascii="Arial" w:hAnsi="Arial" w:cs="Arial"/>
          <w:bCs/>
        </w:rPr>
        <w:t>n</w:t>
      </w:r>
      <w:r w:rsidR="00CD3632">
        <w:rPr>
          <w:rFonts w:ascii="Arial" w:hAnsi="Arial" w:cs="Arial"/>
          <w:bCs/>
        </w:rPr>
        <w:t xml:space="preserve"> ihre Besonderheiten und Vorteile. </w:t>
      </w:r>
      <w:r w:rsidR="00776D77">
        <w:rPr>
          <w:rFonts w:ascii="Arial" w:hAnsi="Arial" w:cs="Arial"/>
          <w:bCs/>
        </w:rPr>
        <w:t xml:space="preserve">Holzenergie Schweiz weist für das Jahr 2020 folgende Verteilung </w:t>
      </w:r>
      <w:r w:rsidR="007B7B55">
        <w:rPr>
          <w:rFonts w:ascii="Arial" w:hAnsi="Arial" w:cs="Arial"/>
          <w:bCs/>
        </w:rPr>
        <w:t>der genutzten Holzsortimente aus</w:t>
      </w:r>
      <w:r w:rsidR="00776D77">
        <w:rPr>
          <w:rFonts w:ascii="Arial" w:hAnsi="Arial" w:cs="Arial"/>
          <w:bCs/>
        </w:rPr>
        <w:t>.</w:t>
      </w:r>
      <w:r w:rsidR="00856478">
        <w:rPr>
          <w:rFonts w:ascii="Arial" w:hAnsi="Arial" w:cs="Arial"/>
          <w:bCs/>
        </w:rPr>
        <w:t xml:space="preserve"> </w:t>
      </w:r>
    </w:p>
    <w:tbl>
      <w:tblPr>
        <w:tblStyle w:val="Tabellenraster"/>
        <w:tblW w:w="0" w:type="auto"/>
        <w:tblLook w:val="04A0" w:firstRow="1" w:lastRow="0" w:firstColumn="1" w:lastColumn="0" w:noHBand="0" w:noVBand="1"/>
      </w:tblPr>
      <w:tblGrid>
        <w:gridCol w:w="2265"/>
        <w:gridCol w:w="2265"/>
        <w:gridCol w:w="2266"/>
      </w:tblGrid>
      <w:tr w:rsidR="00776D77" w14:paraId="67839B43" w14:textId="77777777" w:rsidTr="00776D77">
        <w:tc>
          <w:tcPr>
            <w:tcW w:w="6796" w:type="dxa"/>
            <w:gridSpan w:val="3"/>
          </w:tcPr>
          <w:p w14:paraId="024D38AB" w14:textId="0A6317EF" w:rsidR="00776D77" w:rsidRDefault="00776D77">
            <w:pPr>
              <w:spacing w:after="160" w:line="259" w:lineRule="auto"/>
              <w:rPr>
                <w:rFonts w:ascii="Arial" w:hAnsi="Arial" w:cs="Arial"/>
                <w:bCs/>
              </w:rPr>
            </w:pPr>
            <w:r>
              <w:rPr>
                <w:rFonts w:ascii="Arial" w:hAnsi="Arial" w:cs="Arial"/>
                <w:bCs/>
              </w:rPr>
              <w:t>Nutzung 2020 von Energieholz nach Holzsortimenten</w:t>
            </w:r>
            <w:r w:rsidR="007B7B55">
              <w:rPr>
                <w:rFonts w:ascii="Arial" w:hAnsi="Arial" w:cs="Arial"/>
                <w:bCs/>
              </w:rPr>
              <w:br/>
              <w:t xml:space="preserve">Umgerechnet in Kubikmeter Holzfestmasse  </w:t>
            </w:r>
            <w:r w:rsidR="007B7B55" w:rsidRPr="004A2E7B">
              <w:rPr>
                <w:rFonts w:ascii="Arial" w:hAnsi="Arial" w:cs="Arial"/>
                <w:bCs/>
              </w:rPr>
              <w:t>[m</w:t>
            </w:r>
            <w:r w:rsidR="007B7B55" w:rsidRPr="004A2E7B">
              <w:rPr>
                <w:rFonts w:ascii="Arial" w:hAnsi="Arial" w:cs="Arial"/>
                <w:bCs/>
                <w:vertAlign w:val="superscript"/>
              </w:rPr>
              <w:t>3</w:t>
            </w:r>
            <w:r w:rsidR="007B7B55" w:rsidRPr="004A2E7B">
              <w:rPr>
                <w:rFonts w:ascii="Arial" w:hAnsi="Arial" w:cs="Arial"/>
                <w:bCs/>
              </w:rPr>
              <w:t>/a]</w:t>
            </w:r>
          </w:p>
        </w:tc>
      </w:tr>
      <w:tr w:rsidR="00776D77" w14:paraId="2CB6422B" w14:textId="77777777" w:rsidTr="00776D77">
        <w:tc>
          <w:tcPr>
            <w:tcW w:w="2265" w:type="dxa"/>
          </w:tcPr>
          <w:p w14:paraId="3EE83A73" w14:textId="357A47DC" w:rsidR="007B7B55" w:rsidRDefault="00776D77" w:rsidP="007B7B55">
            <w:pPr>
              <w:spacing w:after="160" w:line="259" w:lineRule="auto"/>
              <w:jc w:val="center"/>
              <w:rPr>
                <w:rFonts w:ascii="Arial" w:hAnsi="Arial" w:cs="Arial"/>
                <w:bCs/>
              </w:rPr>
            </w:pPr>
            <w:r>
              <w:rPr>
                <w:rFonts w:ascii="Arial" w:hAnsi="Arial" w:cs="Arial"/>
                <w:bCs/>
              </w:rPr>
              <w:t>Stückholz</w:t>
            </w:r>
            <w:r w:rsidR="007B7B55">
              <w:rPr>
                <w:rFonts w:ascii="Arial" w:hAnsi="Arial" w:cs="Arial"/>
                <w:bCs/>
              </w:rPr>
              <w:br/>
            </w:r>
            <w:r w:rsidR="007B7B55" w:rsidRPr="004A2E7B">
              <w:rPr>
                <w:rFonts w:ascii="Arial" w:hAnsi="Arial" w:cs="Arial"/>
                <w:bCs/>
              </w:rPr>
              <w:t>[m</w:t>
            </w:r>
            <w:r w:rsidR="007B7B55" w:rsidRPr="004A2E7B">
              <w:rPr>
                <w:rFonts w:ascii="Arial" w:hAnsi="Arial" w:cs="Arial"/>
                <w:bCs/>
                <w:vertAlign w:val="superscript"/>
              </w:rPr>
              <w:t>3</w:t>
            </w:r>
            <w:r w:rsidR="007B7B55" w:rsidRPr="004A2E7B">
              <w:rPr>
                <w:rFonts w:ascii="Arial" w:hAnsi="Arial" w:cs="Arial"/>
                <w:bCs/>
              </w:rPr>
              <w:t>/a]</w:t>
            </w:r>
          </w:p>
        </w:tc>
        <w:tc>
          <w:tcPr>
            <w:tcW w:w="2265" w:type="dxa"/>
          </w:tcPr>
          <w:p w14:paraId="6E1727D7" w14:textId="13C52064" w:rsidR="00776D77" w:rsidRDefault="00776D77" w:rsidP="007B7B55">
            <w:pPr>
              <w:spacing w:after="160" w:line="259" w:lineRule="auto"/>
              <w:jc w:val="center"/>
              <w:rPr>
                <w:rFonts w:ascii="Arial" w:hAnsi="Arial" w:cs="Arial"/>
                <w:bCs/>
              </w:rPr>
            </w:pPr>
            <w:r>
              <w:rPr>
                <w:rFonts w:ascii="Arial" w:hAnsi="Arial" w:cs="Arial"/>
                <w:bCs/>
              </w:rPr>
              <w:t>Schnitzel</w:t>
            </w:r>
            <w:r w:rsidR="007B7B55">
              <w:rPr>
                <w:rFonts w:ascii="Arial" w:hAnsi="Arial" w:cs="Arial"/>
                <w:bCs/>
              </w:rPr>
              <w:br/>
            </w:r>
            <w:r w:rsidR="007B7B55" w:rsidRPr="004A2E7B">
              <w:rPr>
                <w:rFonts w:ascii="Arial" w:hAnsi="Arial" w:cs="Arial"/>
                <w:bCs/>
              </w:rPr>
              <w:t>[m</w:t>
            </w:r>
            <w:r w:rsidR="007B7B55" w:rsidRPr="004A2E7B">
              <w:rPr>
                <w:rFonts w:ascii="Arial" w:hAnsi="Arial" w:cs="Arial"/>
                <w:bCs/>
                <w:vertAlign w:val="superscript"/>
              </w:rPr>
              <w:t>3</w:t>
            </w:r>
            <w:r w:rsidR="007B7B55" w:rsidRPr="004A2E7B">
              <w:rPr>
                <w:rFonts w:ascii="Arial" w:hAnsi="Arial" w:cs="Arial"/>
                <w:bCs/>
              </w:rPr>
              <w:t>/a]</w:t>
            </w:r>
          </w:p>
        </w:tc>
        <w:tc>
          <w:tcPr>
            <w:tcW w:w="2266" w:type="dxa"/>
          </w:tcPr>
          <w:p w14:paraId="096049B0" w14:textId="0DF604B2" w:rsidR="00776D77" w:rsidRDefault="00776D77" w:rsidP="007B7B55">
            <w:pPr>
              <w:spacing w:after="160" w:line="259" w:lineRule="auto"/>
              <w:jc w:val="center"/>
              <w:rPr>
                <w:rFonts w:ascii="Arial" w:hAnsi="Arial" w:cs="Arial"/>
                <w:bCs/>
              </w:rPr>
            </w:pPr>
            <w:r>
              <w:rPr>
                <w:rFonts w:ascii="Arial" w:hAnsi="Arial" w:cs="Arial"/>
                <w:bCs/>
              </w:rPr>
              <w:t>Pellets</w:t>
            </w:r>
            <w:r w:rsidR="007B7B55">
              <w:rPr>
                <w:rFonts w:ascii="Arial" w:hAnsi="Arial" w:cs="Arial"/>
                <w:bCs/>
              </w:rPr>
              <w:br/>
            </w:r>
            <w:r w:rsidR="007B7B55" w:rsidRPr="004A2E7B">
              <w:rPr>
                <w:rFonts w:ascii="Arial" w:hAnsi="Arial" w:cs="Arial"/>
                <w:bCs/>
              </w:rPr>
              <w:t>[m</w:t>
            </w:r>
            <w:r w:rsidR="007B7B55" w:rsidRPr="004A2E7B">
              <w:rPr>
                <w:rFonts w:ascii="Arial" w:hAnsi="Arial" w:cs="Arial"/>
                <w:bCs/>
                <w:vertAlign w:val="superscript"/>
              </w:rPr>
              <w:t>3</w:t>
            </w:r>
            <w:r w:rsidR="007B7B55" w:rsidRPr="004A2E7B">
              <w:rPr>
                <w:rFonts w:ascii="Arial" w:hAnsi="Arial" w:cs="Arial"/>
                <w:bCs/>
              </w:rPr>
              <w:t>/a]</w:t>
            </w:r>
          </w:p>
        </w:tc>
      </w:tr>
      <w:tr w:rsidR="00776D77" w14:paraId="60217056" w14:textId="77777777" w:rsidTr="00776D77">
        <w:tc>
          <w:tcPr>
            <w:tcW w:w="2265" w:type="dxa"/>
          </w:tcPr>
          <w:p w14:paraId="671528B0" w14:textId="1498B3C1" w:rsidR="00776D77" w:rsidRDefault="007B7B55" w:rsidP="007B7B55">
            <w:pPr>
              <w:spacing w:after="160" w:line="259" w:lineRule="auto"/>
              <w:jc w:val="center"/>
              <w:rPr>
                <w:rFonts w:ascii="Arial" w:hAnsi="Arial" w:cs="Arial"/>
                <w:bCs/>
              </w:rPr>
            </w:pPr>
            <w:r>
              <w:rPr>
                <w:rFonts w:ascii="Arial" w:hAnsi="Arial" w:cs="Arial"/>
                <w:bCs/>
              </w:rPr>
              <w:t>1'140’000</w:t>
            </w:r>
          </w:p>
        </w:tc>
        <w:tc>
          <w:tcPr>
            <w:tcW w:w="2265" w:type="dxa"/>
          </w:tcPr>
          <w:p w14:paraId="31C6C334" w14:textId="574021EC" w:rsidR="00776D77" w:rsidRDefault="00776D77" w:rsidP="007B7B55">
            <w:pPr>
              <w:spacing w:after="160" w:line="259" w:lineRule="auto"/>
              <w:jc w:val="center"/>
              <w:rPr>
                <w:rFonts w:ascii="Arial" w:hAnsi="Arial" w:cs="Arial"/>
                <w:bCs/>
              </w:rPr>
            </w:pPr>
            <w:r>
              <w:rPr>
                <w:rFonts w:ascii="Arial" w:hAnsi="Arial" w:cs="Arial"/>
                <w:bCs/>
              </w:rPr>
              <w:t>3</w:t>
            </w:r>
            <w:r w:rsidR="007B7B55">
              <w:rPr>
                <w:rFonts w:ascii="Arial" w:hAnsi="Arial" w:cs="Arial"/>
                <w:bCs/>
              </w:rPr>
              <w:t>’</w:t>
            </w:r>
            <w:r>
              <w:rPr>
                <w:rFonts w:ascii="Arial" w:hAnsi="Arial" w:cs="Arial"/>
                <w:bCs/>
              </w:rPr>
              <w:t>810’000</w:t>
            </w:r>
          </w:p>
        </w:tc>
        <w:tc>
          <w:tcPr>
            <w:tcW w:w="2266" w:type="dxa"/>
          </w:tcPr>
          <w:p w14:paraId="313B5E82" w14:textId="19FF7EE7" w:rsidR="00776D77" w:rsidRDefault="00776D77" w:rsidP="007B7B55">
            <w:pPr>
              <w:spacing w:after="160" w:line="259" w:lineRule="auto"/>
              <w:jc w:val="center"/>
              <w:rPr>
                <w:rFonts w:ascii="Arial" w:hAnsi="Arial" w:cs="Arial"/>
                <w:bCs/>
              </w:rPr>
            </w:pPr>
            <w:r>
              <w:rPr>
                <w:rFonts w:ascii="Arial" w:hAnsi="Arial" w:cs="Arial"/>
                <w:bCs/>
              </w:rPr>
              <w:t>630’000</w:t>
            </w:r>
          </w:p>
        </w:tc>
      </w:tr>
    </w:tbl>
    <w:p w14:paraId="1871B1EA" w14:textId="77777777" w:rsidR="00856478" w:rsidRDefault="00856478">
      <w:pPr>
        <w:spacing w:after="160" w:line="259" w:lineRule="auto"/>
        <w:rPr>
          <w:rFonts w:ascii="Arial" w:hAnsi="Arial" w:cs="Arial"/>
          <w:bCs/>
        </w:rPr>
      </w:pPr>
      <w:r>
        <w:rPr>
          <w:rFonts w:ascii="Arial" w:hAnsi="Arial" w:cs="Arial"/>
          <w:bCs/>
        </w:rPr>
        <w:br w:type="page"/>
      </w:r>
    </w:p>
    <w:p w14:paraId="49F69E90" w14:textId="77777777" w:rsidR="007B7B55" w:rsidRDefault="007B7B55">
      <w:pPr>
        <w:spacing w:after="160" w:line="259" w:lineRule="auto"/>
        <w:rPr>
          <w:rFonts w:ascii="Arial" w:hAnsi="Arial" w:cs="Arial"/>
          <w:bCs/>
        </w:rPr>
      </w:pPr>
    </w:p>
    <w:p w14:paraId="4CB64BFE" w14:textId="1286B213" w:rsidR="00CD3632" w:rsidRPr="00CD3632" w:rsidRDefault="00CD3632">
      <w:pPr>
        <w:spacing w:after="160" w:line="259" w:lineRule="auto"/>
        <w:rPr>
          <w:rFonts w:ascii="Arial" w:hAnsi="Arial" w:cs="Arial"/>
          <w:b/>
        </w:rPr>
      </w:pPr>
      <w:r w:rsidRPr="00CD3632">
        <w:rPr>
          <w:rFonts w:ascii="Arial" w:hAnsi="Arial" w:cs="Arial"/>
          <w:b/>
        </w:rPr>
        <w:t>Stark steigende Nachfrage</w:t>
      </w:r>
    </w:p>
    <w:p w14:paraId="55B6F8E9" w14:textId="48968CFE" w:rsidR="00D7318C" w:rsidRDefault="00CD3632">
      <w:pPr>
        <w:spacing w:after="160" w:line="259" w:lineRule="auto"/>
        <w:rPr>
          <w:rFonts w:ascii="Arial" w:hAnsi="Arial" w:cs="Arial"/>
          <w:bCs/>
        </w:rPr>
      </w:pPr>
      <w:r>
        <w:rPr>
          <w:rFonts w:ascii="Arial" w:hAnsi="Arial" w:cs="Arial"/>
          <w:bCs/>
        </w:rPr>
        <w:t xml:space="preserve">Das Bedürfnis nach Sicherheit und Zuverlässigkeit sowie die Notwendigkeit der vermehrten Nutzung klimaneutraler Energiequellen haben die Nachfrage nach Holzfeuerungen und Energieholz seit längerem und seit Russlands Krieg in der Ukraine ganz besonders stark ansteigen lassen. </w:t>
      </w:r>
      <w:r w:rsidR="00414C31">
        <w:rPr>
          <w:rFonts w:ascii="Arial" w:hAnsi="Arial" w:cs="Arial"/>
          <w:bCs/>
        </w:rPr>
        <w:t xml:space="preserve">Es steht genügend Holz zur Verfügung. Neue Projekte sind aber sorgfältig und langfristig zu planen, damit sich die Anbieter und Lieferanten von Holzfeuerungen und Energieholz anpassen können. </w:t>
      </w:r>
    </w:p>
    <w:p w14:paraId="52ABDB04" w14:textId="5C9C83DB" w:rsidR="00414C31" w:rsidRDefault="00414C31">
      <w:pPr>
        <w:spacing w:after="160" w:line="259" w:lineRule="auto"/>
        <w:rPr>
          <w:rFonts w:ascii="Arial" w:hAnsi="Arial" w:cs="Arial"/>
          <w:bCs/>
        </w:rPr>
      </w:pPr>
      <w:r>
        <w:rPr>
          <w:rFonts w:ascii="Arial" w:hAnsi="Arial" w:cs="Arial"/>
          <w:bCs/>
        </w:rPr>
        <w:t xml:space="preserve">Holzenergie Schweiz setzt sich dafür ein, das </w:t>
      </w:r>
      <w:r w:rsidR="0045492C">
        <w:rPr>
          <w:rFonts w:ascii="Arial" w:hAnsi="Arial" w:cs="Arial"/>
          <w:bCs/>
        </w:rPr>
        <w:t xml:space="preserve">jährlich </w:t>
      </w:r>
      <w:r>
        <w:rPr>
          <w:rFonts w:ascii="Arial" w:hAnsi="Arial" w:cs="Arial"/>
          <w:bCs/>
        </w:rPr>
        <w:t>zusätzlich</w:t>
      </w:r>
      <w:r w:rsidR="0045492C">
        <w:rPr>
          <w:rFonts w:ascii="Arial" w:hAnsi="Arial" w:cs="Arial"/>
          <w:bCs/>
        </w:rPr>
        <w:t xml:space="preserve"> </w:t>
      </w:r>
      <w:r>
        <w:rPr>
          <w:rFonts w:ascii="Arial" w:hAnsi="Arial" w:cs="Arial"/>
          <w:bCs/>
        </w:rPr>
        <w:t>vorhandene Energieholz</w:t>
      </w:r>
      <w:r w:rsidR="0045492C">
        <w:rPr>
          <w:rFonts w:ascii="Arial" w:hAnsi="Arial" w:cs="Arial"/>
          <w:bCs/>
        </w:rPr>
        <w:t>p</w:t>
      </w:r>
      <w:r>
        <w:rPr>
          <w:rFonts w:ascii="Arial" w:hAnsi="Arial" w:cs="Arial"/>
          <w:bCs/>
        </w:rPr>
        <w:t xml:space="preserve">otential von 1,8 Millionen </w:t>
      </w:r>
      <w:r w:rsidR="0045492C">
        <w:rPr>
          <w:rFonts w:ascii="Arial" w:hAnsi="Arial" w:cs="Arial"/>
          <w:bCs/>
        </w:rPr>
        <w:t xml:space="preserve">Kubikmeter möglichst rasch zu nutzen und damit die Nachfrage nach fossilen Energien und Strom zu drosseln. Damit kann Holz einen wichtigen Beitrag an die Versorgungssicherheit der Schweiz leisten. </w:t>
      </w:r>
      <w:r>
        <w:rPr>
          <w:rFonts w:ascii="Arial" w:hAnsi="Arial" w:cs="Arial"/>
          <w:bCs/>
        </w:rPr>
        <w:t xml:space="preserve"> </w:t>
      </w:r>
    </w:p>
    <w:p w14:paraId="7B7B4FF5" w14:textId="77777777" w:rsidR="00754FFC" w:rsidRDefault="00754FFC">
      <w:pPr>
        <w:spacing w:after="160" w:line="259" w:lineRule="auto"/>
        <w:rPr>
          <w:rFonts w:ascii="Arial" w:hAnsi="Arial" w:cs="Arial"/>
          <w:bCs/>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 xml:space="preserve">Christoph Rutschmann </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5AF96CC8" w:rsidR="00833DB0" w:rsidRPr="00833DB0" w:rsidRDefault="005129B2" w:rsidP="00833DB0">
      <w:pPr>
        <w:spacing w:after="0" w:line="240" w:lineRule="auto"/>
        <w:rPr>
          <w:rFonts w:ascii="Arial" w:hAnsi="Arial" w:cs="Arial"/>
          <w:i/>
          <w:sz w:val="20"/>
        </w:rPr>
      </w:pPr>
      <w:r>
        <w:rPr>
          <w:rFonts w:ascii="Arial" w:hAnsi="Arial" w:cs="Arial"/>
          <w:i/>
          <w:sz w:val="20"/>
        </w:rPr>
        <w:t>Tel</w:t>
      </w:r>
      <w:r w:rsidR="00833DB0" w:rsidRPr="00833DB0">
        <w:rPr>
          <w:rFonts w:ascii="Arial" w:hAnsi="Arial" w:cs="Arial"/>
          <w:i/>
          <w:sz w:val="20"/>
        </w:rPr>
        <w:t>: 044 250 88 11</w:t>
      </w:r>
    </w:p>
    <w:p w14:paraId="3526588B"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tbl>
      <w:tblPr>
        <w:tblStyle w:val="Tabellenraster"/>
        <w:tblW w:w="9606" w:type="dxa"/>
        <w:tblLook w:val="04A0" w:firstRow="1" w:lastRow="0" w:firstColumn="1" w:lastColumn="0" w:noHBand="0" w:noVBand="1"/>
      </w:tblPr>
      <w:tblGrid>
        <w:gridCol w:w="4106"/>
        <w:gridCol w:w="5500"/>
      </w:tblGrid>
      <w:tr w:rsidR="00AC05B2" w14:paraId="1B166C95" w14:textId="77777777" w:rsidTr="00856478">
        <w:tc>
          <w:tcPr>
            <w:tcW w:w="4106" w:type="dxa"/>
          </w:tcPr>
          <w:p w14:paraId="2E39611D" w14:textId="22B2595E" w:rsidR="008D06C3" w:rsidRDefault="008D06C3" w:rsidP="00856478">
            <w:pPr>
              <w:spacing w:after="40"/>
              <w:rPr>
                <w:rFonts w:ascii="Arial" w:hAnsi="Arial" w:cs="Arial"/>
                <w:i/>
                <w:sz w:val="20"/>
              </w:rPr>
            </w:pPr>
            <w:r>
              <w:rPr>
                <w:noProof/>
              </w:rPr>
              <w:drawing>
                <wp:inline distT="0" distB="0" distL="0" distR="0" wp14:anchorId="7E33305C" wp14:editId="0CD346D1">
                  <wp:extent cx="1162050" cy="771525"/>
                  <wp:effectExtent l="0" t="0" r="0"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62050" cy="771525"/>
                          </a:xfrm>
                          <a:prstGeom prst="rect">
                            <a:avLst/>
                          </a:prstGeom>
                        </pic:spPr>
                      </pic:pic>
                    </a:graphicData>
                  </a:graphic>
                </wp:inline>
              </w:drawing>
            </w:r>
            <w:r w:rsidR="00856478">
              <w:rPr>
                <w:rFonts w:ascii="Arial" w:hAnsi="Arial" w:cs="Arial"/>
                <w:i/>
                <w:sz w:val="20"/>
              </w:rPr>
              <w:t xml:space="preserve"> </w:t>
            </w:r>
            <w:r>
              <w:rPr>
                <w:noProof/>
              </w:rPr>
              <w:drawing>
                <wp:inline distT="0" distB="0" distL="0" distR="0" wp14:anchorId="739A8ED7" wp14:editId="13161C35">
                  <wp:extent cx="1200864" cy="78105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01022" cy="781153"/>
                          </a:xfrm>
                          <a:prstGeom prst="rect">
                            <a:avLst/>
                          </a:prstGeom>
                        </pic:spPr>
                      </pic:pic>
                    </a:graphicData>
                  </a:graphic>
                </wp:inline>
              </w:drawing>
            </w:r>
          </w:p>
        </w:tc>
        <w:tc>
          <w:tcPr>
            <w:tcW w:w="5500" w:type="dxa"/>
          </w:tcPr>
          <w:p w14:paraId="6A4F616F" w14:textId="77777777" w:rsidR="00AC05B2" w:rsidRDefault="00AC05B2" w:rsidP="00AD5805">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0E9B96E2" w14:textId="77777777" w:rsidR="00754FFC" w:rsidRDefault="00754FFC" w:rsidP="00AD5805">
            <w:pPr>
              <w:spacing w:after="40"/>
              <w:rPr>
                <w:rFonts w:ascii="Arial" w:hAnsi="Arial" w:cs="Arial"/>
                <w:i/>
                <w:sz w:val="20"/>
              </w:rPr>
            </w:pPr>
          </w:p>
          <w:p w14:paraId="0259DF9B" w14:textId="2BB9B683" w:rsidR="00AC05B2" w:rsidRDefault="00ED6F8A" w:rsidP="00AD5805">
            <w:pPr>
              <w:spacing w:after="40"/>
              <w:rPr>
                <w:rFonts w:ascii="Arial" w:hAnsi="Arial" w:cs="Arial"/>
                <w:i/>
                <w:sz w:val="20"/>
              </w:rPr>
            </w:pPr>
            <w:r>
              <w:rPr>
                <w:rFonts w:ascii="Arial" w:hAnsi="Arial" w:cs="Arial"/>
                <w:i/>
                <w:sz w:val="20"/>
              </w:rPr>
              <w:t xml:space="preserve">Energieholz: </w:t>
            </w:r>
            <w:r w:rsidR="00754FFC">
              <w:rPr>
                <w:rFonts w:ascii="Arial" w:hAnsi="Arial" w:cs="Arial"/>
                <w:i/>
                <w:sz w:val="20"/>
              </w:rPr>
              <w:t>Schafft Arbeitsplätze, nützt gegen die Klimaerhitzung, hilft dem Wald</w:t>
            </w:r>
          </w:p>
          <w:p w14:paraId="5F6B22C3" w14:textId="77777777" w:rsidR="00AC05B2" w:rsidRDefault="00AC05B2" w:rsidP="00AD5805">
            <w:pPr>
              <w:spacing w:after="40"/>
              <w:rPr>
                <w:rFonts w:ascii="Arial" w:hAnsi="Arial" w:cs="Arial"/>
                <w:i/>
                <w:sz w:val="20"/>
              </w:rPr>
            </w:pPr>
          </w:p>
          <w:p w14:paraId="2C217872" w14:textId="77777777" w:rsidR="00AC05B2" w:rsidRPr="00F06423" w:rsidRDefault="00AC05B2" w:rsidP="00AD5805">
            <w:pPr>
              <w:spacing w:after="40"/>
              <w:rPr>
                <w:rFonts w:ascii="Arial" w:hAnsi="Arial" w:cs="Arial"/>
                <w:i/>
                <w:sz w:val="20"/>
              </w:rPr>
            </w:pPr>
            <w:r>
              <w:rPr>
                <w:rFonts w:ascii="Arial" w:hAnsi="Arial" w:cs="Arial"/>
                <w:i/>
                <w:sz w:val="20"/>
              </w:rPr>
              <w:t xml:space="preserve">Quelle: Holzenergie Schweiz, Christoph Rutschmann </w:t>
            </w:r>
          </w:p>
        </w:tc>
      </w:tr>
      <w:tr w:rsidR="00AC05B2" w14:paraId="2E39DC1D" w14:textId="77777777" w:rsidTr="00856478">
        <w:tc>
          <w:tcPr>
            <w:tcW w:w="4106" w:type="dxa"/>
          </w:tcPr>
          <w:p w14:paraId="46504853" w14:textId="73BDA353" w:rsidR="00AC05B2" w:rsidRDefault="008D06C3" w:rsidP="00AD5805">
            <w:pPr>
              <w:spacing w:after="40"/>
              <w:rPr>
                <w:rFonts w:ascii="Arial" w:hAnsi="Arial" w:cs="Arial"/>
                <w:i/>
                <w:sz w:val="20"/>
              </w:rPr>
            </w:pPr>
            <w:r>
              <w:rPr>
                <w:noProof/>
              </w:rPr>
              <w:drawing>
                <wp:inline distT="0" distB="0" distL="0" distR="0" wp14:anchorId="3F2BB212" wp14:editId="0A5B2646">
                  <wp:extent cx="120015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00150" cy="762000"/>
                          </a:xfrm>
                          <a:prstGeom prst="rect">
                            <a:avLst/>
                          </a:prstGeom>
                        </pic:spPr>
                      </pic:pic>
                    </a:graphicData>
                  </a:graphic>
                </wp:inline>
              </w:drawing>
            </w:r>
            <w:r w:rsidR="00856478">
              <w:rPr>
                <w:rFonts w:ascii="Arial" w:hAnsi="Arial" w:cs="Arial"/>
                <w:i/>
                <w:sz w:val="20"/>
              </w:rPr>
              <w:t xml:space="preserve"> </w:t>
            </w:r>
            <w:r w:rsidR="002F7E2A">
              <w:rPr>
                <w:noProof/>
              </w:rPr>
              <w:drawing>
                <wp:inline distT="0" distB="0" distL="0" distR="0" wp14:anchorId="4D2F9645" wp14:editId="75670B8F">
                  <wp:extent cx="693806" cy="103060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0037" cy="1039861"/>
                          </a:xfrm>
                          <a:prstGeom prst="rect">
                            <a:avLst/>
                          </a:prstGeom>
                        </pic:spPr>
                      </pic:pic>
                    </a:graphicData>
                  </a:graphic>
                </wp:inline>
              </w:drawing>
            </w:r>
          </w:p>
        </w:tc>
        <w:tc>
          <w:tcPr>
            <w:tcW w:w="5500" w:type="dxa"/>
          </w:tcPr>
          <w:p w14:paraId="10F37AD6" w14:textId="77777777" w:rsidR="00AC05B2" w:rsidRDefault="00AC05B2" w:rsidP="00AD5805">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27FE29F6" w14:textId="77777777" w:rsidR="00754FFC" w:rsidRDefault="00754FFC" w:rsidP="00AD5805">
            <w:pPr>
              <w:spacing w:after="40"/>
              <w:rPr>
                <w:rFonts w:ascii="Arial" w:hAnsi="Arial" w:cs="Arial"/>
                <w:i/>
                <w:sz w:val="20"/>
              </w:rPr>
            </w:pPr>
          </w:p>
          <w:p w14:paraId="67BC1FAF" w14:textId="01F82709" w:rsidR="00AC05B2" w:rsidRDefault="00754FFC" w:rsidP="00AD5805">
            <w:pPr>
              <w:spacing w:after="40"/>
              <w:rPr>
                <w:rFonts w:ascii="Arial" w:hAnsi="Arial" w:cs="Arial"/>
                <w:i/>
                <w:sz w:val="20"/>
              </w:rPr>
            </w:pPr>
            <w:r>
              <w:rPr>
                <w:rFonts w:ascii="Arial" w:hAnsi="Arial" w:cs="Arial"/>
                <w:i/>
                <w:sz w:val="20"/>
              </w:rPr>
              <w:t xml:space="preserve">Sichere Energieversorgung dank Holz vom Förster statt Gas von Putin </w:t>
            </w:r>
          </w:p>
          <w:p w14:paraId="3D83DD7D" w14:textId="77777777" w:rsidR="00AC05B2" w:rsidRDefault="00AC05B2" w:rsidP="00AD5805">
            <w:pPr>
              <w:spacing w:after="40"/>
              <w:rPr>
                <w:rFonts w:ascii="Arial" w:hAnsi="Arial" w:cs="Arial"/>
                <w:i/>
                <w:sz w:val="20"/>
              </w:rPr>
            </w:pPr>
          </w:p>
          <w:p w14:paraId="06D4D69C" w14:textId="77777777" w:rsidR="00AC05B2" w:rsidRPr="00F06423" w:rsidRDefault="00AC05B2" w:rsidP="00AD5805">
            <w:pPr>
              <w:spacing w:after="40"/>
              <w:rPr>
                <w:rFonts w:ascii="Arial" w:hAnsi="Arial" w:cs="Arial"/>
                <w:i/>
                <w:sz w:val="20"/>
              </w:rPr>
            </w:pPr>
            <w:r>
              <w:rPr>
                <w:rFonts w:ascii="Arial" w:hAnsi="Arial" w:cs="Arial"/>
                <w:i/>
                <w:sz w:val="20"/>
              </w:rPr>
              <w:t xml:space="preserve">Quelle: Holzenergie Schweiz, Christoph Rutschmann </w:t>
            </w:r>
          </w:p>
        </w:tc>
      </w:tr>
    </w:tbl>
    <w:p w14:paraId="754EC113" w14:textId="77777777" w:rsidR="006F21B2" w:rsidRPr="007A3AC6" w:rsidRDefault="006F21B2" w:rsidP="00D34A9C">
      <w:pPr>
        <w:spacing w:after="0" w:line="240" w:lineRule="auto"/>
        <w:rPr>
          <w:rFonts w:ascii="Arial" w:hAnsi="Arial" w:cs="Arial"/>
          <w:sz w:val="20"/>
        </w:rPr>
      </w:pPr>
    </w:p>
    <w:sectPr w:rsidR="006F21B2" w:rsidRPr="007A3AC6" w:rsidSect="00CA6597">
      <w:headerReference w:type="default" r:id="rId11"/>
      <w:footerReference w:type="default" r:id="rId12"/>
      <w:headerReference w:type="first" r:id="rId13"/>
      <w:footerReference w:type="first" r:id="rId14"/>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E45A" w14:textId="77777777" w:rsidR="00CC0E91" w:rsidRDefault="00CC0E91" w:rsidP="006F21B2">
      <w:pPr>
        <w:spacing w:after="0" w:line="240" w:lineRule="auto"/>
      </w:pPr>
      <w:r>
        <w:separator/>
      </w:r>
    </w:p>
  </w:endnote>
  <w:endnote w:type="continuationSeparator" w:id="0">
    <w:p w14:paraId="72554259" w14:textId="77777777" w:rsidR="00CC0E91" w:rsidRDefault="00CC0E91"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20B05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DC61B1"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DC61B1"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7092" w14:textId="77777777" w:rsidR="00CC0E91" w:rsidRDefault="00CC0E91" w:rsidP="006F21B2">
      <w:pPr>
        <w:spacing w:after="0" w:line="240" w:lineRule="auto"/>
      </w:pPr>
      <w:r>
        <w:separator/>
      </w:r>
    </w:p>
  </w:footnote>
  <w:footnote w:type="continuationSeparator" w:id="0">
    <w:p w14:paraId="203FAADB" w14:textId="77777777" w:rsidR="00CC0E91" w:rsidRDefault="00CC0E91"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DC61B1">
    <w:pPr>
      <w:pStyle w:val="Kopfzeile"/>
      <w:rPr>
        <w:spacing w:val="1"/>
        <w:sz w:val="17"/>
      </w:rPr>
    </w:pPr>
  </w:p>
  <w:p w14:paraId="54521666" w14:textId="77777777" w:rsidR="006907C0" w:rsidRDefault="00DC61B1">
    <w:pPr>
      <w:pStyle w:val="Kopfzeile"/>
      <w:rPr>
        <w:spacing w:val="1"/>
        <w:sz w:val="17"/>
      </w:rPr>
    </w:pPr>
  </w:p>
  <w:p w14:paraId="6C323340" w14:textId="77777777" w:rsidR="007C40F6" w:rsidRDefault="00DC61B1">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DC61B1"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000000"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DC61B1"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26147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03490"/>
    <w:rsid w:val="00010B24"/>
    <w:rsid w:val="00013E4F"/>
    <w:rsid w:val="00016707"/>
    <w:rsid w:val="00021991"/>
    <w:rsid w:val="0002408E"/>
    <w:rsid w:val="000372D5"/>
    <w:rsid w:val="00043AD1"/>
    <w:rsid w:val="00051E2A"/>
    <w:rsid w:val="00053B3F"/>
    <w:rsid w:val="000913B7"/>
    <w:rsid w:val="00095307"/>
    <w:rsid w:val="00096086"/>
    <w:rsid w:val="000A2788"/>
    <w:rsid w:val="000D5BEA"/>
    <w:rsid w:val="000D5D3A"/>
    <w:rsid w:val="000E324A"/>
    <w:rsid w:val="000F3FFD"/>
    <w:rsid w:val="000F7D28"/>
    <w:rsid w:val="001049EE"/>
    <w:rsid w:val="00117463"/>
    <w:rsid w:val="00120D63"/>
    <w:rsid w:val="00135FB3"/>
    <w:rsid w:val="00141D16"/>
    <w:rsid w:val="00157E99"/>
    <w:rsid w:val="00165E5D"/>
    <w:rsid w:val="00170833"/>
    <w:rsid w:val="00176E77"/>
    <w:rsid w:val="001922FE"/>
    <w:rsid w:val="001940F9"/>
    <w:rsid w:val="00195512"/>
    <w:rsid w:val="001A20A0"/>
    <w:rsid w:val="001A3916"/>
    <w:rsid w:val="001C1FF3"/>
    <w:rsid w:val="001C374E"/>
    <w:rsid w:val="001C402C"/>
    <w:rsid w:val="001C5AF8"/>
    <w:rsid w:val="001C7BDF"/>
    <w:rsid w:val="001D52B5"/>
    <w:rsid w:val="001E7B48"/>
    <w:rsid w:val="001F1E08"/>
    <w:rsid w:val="001F6150"/>
    <w:rsid w:val="00201EC7"/>
    <w:rsid w:val="00206056"/>
    <w:rsid w:val="00210034"/>
    <w:rsid w:val="00250A6D"/>
    <w:rsid w:val="002555E9"/>
    <w:rsid w:val="002820B8"/>
    <w:rsid w:val="0028445D"/>
    <w:rsid w:val="00293F39"/>
    <w:rsid w:val="002A0852"/>
    <w:rsid w:val="002A0864"/>
    <w:rsid w:val="002A5496"/>
    <w:rsid w:val="002B4951"/>
    <w:rsid w:val="002C00FB"/>
    <w:rsid w:val="002C2468"/>
    <w:rsid w:val="002D3393"/>
    <w:rsid w:val="002D3414"/>
    <w:rsid w:val="002D4D36"/>
    <w:rsid w:val="002D60F0"/>
    <w:rsid w:val="002D625F"/>
    <w:rsid w:val="002E4A39"/>
    <w:rsid w:val="002E5E90"/>
    <w:rsid w:val="002E66DC"/>
    <w:rsid w:val="002F7E2A"/>
    <w:rsid w:val="0030631B"/>
    <w:rsid w:val="00325C36"/>
    <w:rsid w:val="0033152C"/>
    <w:rsid w:val="0033230B"/>
    <w:rsid w:val="0033328A"/>
    <w:rsid w:val="00333F78"/>
    <w:rsid w:val="0033419F"/>
    <w:rsid w:val="0035129B"/>
    <w:rsid w:val="00356742"/>
    <w:rsid w:val="00357A2B"/>
    <w:rsid w:val="00365183"/>
    <w:rsid w:val="003745BD"/>
    <w:rsid w:val="00377AC6"/>
    <w:rsid w:val="003A3551"/>
    <w:rsid w:val="003B78BB"/>
    <w:rsid w:val="003C27C8"/>
    <w:rsid w:val="003C5BA7"/>
    <w:rsid w:val="003C6631"/>
    <w:rsid w:val="003C7D68"/>
    <w:rsid w:val="003D5381"/>
    <w:rsid w:val="003E54C8"/>
    <w:rsid w:val="003F1B92"/>
    <w:rsid w:val="003F6A25"/>
    <w:rsid w:val="00400EA6"/>
    <w:rsid w:val="00405242"/>
    <w:rsid w:val="00414C31"/>
    <w:rsid w:val="004211B1"/>
    <w:rsid w:val="00422C3B"/>
    <w:rsid w:val="004308B2"/>
    <w:rsid w:val="00442798"/>
    <w:rsid w:val="00444994"/>
    <w:rsid w:val="00446EDF"/>
    <w:rsid w:val="0045492C"/>
    <w:rsid w:val="0045608C"/>
    <w:rsid w:val="004566AA"/>
    <w:rsid w:val="0046328F"/>
    <w:rsid w:val="004643A7"/>
    <w:rsid w:val="004870F5"/>
    <w:rsid w:val="00490E52"/>
    <w:rsid w:val="00490F06"/>
    <w:rsid w:val="00494941"/>
    <w:rsid w:val="004A2E7B"/>
    <w:rsid w:val="004A4272"/>
    <w:rsid w:val="004A52E8"/>
    <w:rsid w:val="004C0826"/>
    <w:rsid w:val="004C590C"/>
    <w:rsid w:val="004C6A63"/>
    <w:rsid w:val="004D16E9"/>
    <w:rsid w:val="004D4A62"/>
    <w:rsid w:val="004F16C5"/>
    <w:rsid w:val="004F31D9"/>
    <w:rsid w:val="00510275"/>
    <w:rsid w:val="005129B2"/>
    <w:rsid w:val="00526A24"/>
    <w:rsid w:val="0054122B"/>
    <w:rsid w:val="005428F3"/>
    <w:rsid w:val="005466D3"/>
    <w:rsid w:val="0055660C"/>
    <w:rsid w:val="00565FA4"/>
    <w:rsid w:val="00586933"/>
    <w:rsid w:val="0059507F"/>
    <w:rsid w:val="005A2E26"/>
    <w:rsid w:val="005A6D54"/>
    <w:rsid w:val="005C0D40"/>
    <w:rsid w:val="005F1BA1"/>
    <w:rsid w:val="00600150"/>
    <w:rsid w:val="00602908"/>
    <w:rsid w:val="006045F9"/>
    <w:rsid w:val="006115B1"/>
    <w:rsid w:val="0061417C"/>
    <w:rsid w:val="00616360"/>
    <w:rsid w:val="0062056C"/>
    <w:rsid w:val="006216C3"/>
    <w:rsid w:val="00641B97"/>
    <w:rsid w:val="00653B98"/>
    <w:rsid w:val="00674927"/>
    <w:rsid w:val="00687E6A"/>
    <w:rsid w:val="00690733"/>
    <w:rsid w:val="00691560"/>
    <w:rsid w:val="006A537A"/>
    <w:rsid w:val="006A6D07"/>
    <w:rsid w:val="006C081B"/>
    <w:rsid w:val="006C6028"/>
    <w:rsid w:val="006F035C"/>
    <w:rsid w:val="006F03D3"/>
    <w:rsid w:val="006F21B2"/>
    <w:rsid w:val="006F77C2"/>
    <w:rsid w:val="00702857"/>
    <w:rsid w:val="0071142D"/>
    <w:rsid w:val="00733ACA"/>
    <w:rsid w:val="00746D73"/>
    <w:rsid w:val="00752B0E"/>
    <w:rsid w:val="00754FFC"/>
    <w:rsid w:val="007747C0"/>
    <w:rsid w:val="00776D77"/>
    <w:rsid w:val="00777094"/>
    <w:rsid w:val="00795038"/>
    <w:rsid w:val="007955C3"/>
    <w:rsid w:val="007B2EB7"/>
    <w:rsid w:val="007B48AF"/>
    <w:rsid w:val="007B7B55"/>
    <w:rsid w:val="007D0031"/>
    <w:rsid w:val="007F50DD"/>
    <w:rsid w:val="007F5868"/>
    <w:rsid w:val="007F59EF"/>
    <w:rsid w:val="007F5B6C"/>
    <w:rsid w:val="0082356C"/>
    <w:rsid w:val="008243FF"/>
    <w:rsid w:val="00833DB0"/>
    <w:rsid w:val="00842962"/>
    <w:rsid w:val="00856478"/>
    <w:rsid w:val="00865BCE"/>
    <w:rsid w:val="0088486B"/>
    <w:rsid w:val="00891181"/>
    <w:rsid w:val="008A7D1F"/>
    <w:rsid w:val="008C0EF4"/>
    <w:rsid w:val="008C2D59"/>
    <w:rsid w:val="008C7FB4"/>
    <w:rsid w:val="008D06C3"/>
    <w:rsid w:val="008E294D"/>
    <w:rsid w:val="008E557F"/>
    <w:rsid w:val="008E689A"/>
    <w:rsid w:val="00912DD0"/>
    <w:rsid w:val="00913900"/>
    <w:rsid w:val="0091454C"/>
    <w:rsid w:val="00921C6B"/>
    <w:rsid w:val="00926D8D"/>
    <w:rsid w:val="00933AF2"/>
    <w:rsid w:val="009447F7"/>
    <w:rsid w:val="00951891"/>
    <w:rsid w:val="00954838"/>
    <w:rsid w:val="0095710A"/>
    <w:rsid w:val="00964A28"/>
    <w:rsid w:val="00970D73"/>
    <w:rsid w:val="00971EEF"/>
    <w:rsid w:val="00983C5B"/>
    <w:rsid w:val="0098418F"/>
    <w:rsid w:val="00991127"/>
    <w:rsid w:val="009A3DB1"/>
    <w:rsid w:val="009B0293"/>
    <w:rsid w:val="009C020F"/>
    <w:rsid w:val="00A003C7"/>
    <w:rsid w:val="00A016B8"/>
    <w:rsid w:val="00A0639D"/>
    <w:rsid w:val="00A144BB"/>
    <w:rsid w:val="00A16C89"/>
    <w:rsid w:val="00A23BD5"/>
    <w:rsid w:val="00A32382"/>
    <w:rsid w:val="00A42A25"/>
    <w:rsid w:val="00A5200C"/>
    <w:rsid w:val="00A62CD1"/>
    <w:rsid w:val="00A72B49"/>
    <w:rsid w:val="00A72C73"/>
    <w:rsid w:val="00A737B9"/>
    <w:rsid w:val="00A755BC"/>
    <w:rsid w:val="00A77040"/>
    <w:rsid w:val="00A777A4"/>
    <w:rsid w:val="00A904F1"/>
    <w:rsid w:val="00A90FD3"/>
    <w:rsid w:val="00AA7304"/>
    <w:rsid w:val="00AB29D9"/>
    <w:rsid w:val="00AB2AED"/>
    <w:rsid w:val="00AC05B2"/>
    <w:rsid w:val="00AC1983"/>
    <w:rsid w:val="00AE62AE"/>
    <w:rsid w:val="00AF2F28"/>
    <w:rsid w:val="00B033AF"/>
    <w:rsid w:val="00B06108"/>
    <w:rsid w:val="00B26536"/>
    <w:rsid w:val="00B428F6"/>
    <w:rsid w:val="00B43174"/>
    <w:rsid w:val="00B51FC9"/>
    <w:rsid w:val="00B5534A"/>
    <w:rsid w:val="00B60C21"/>
    <w:rsid w:val="00B703AC"/>
    <w:rsid w:val="00B70BE7"/>
    <w:rsid w:val="00B72484"/>
    <w:rsid w:val="00B74BED"/>
    <w:rsid w:val="00BA4D30"/>
    <w:rsid w:val="00BB0DA4"/>
    <w:rsid w:val="00BB3276"/>
    <w:rsid w:val="00BB4DBA"/>
    <w:rsid w:val="00BB7DD8"/>
    <w:rsid w:val="00BC3D94"/>
    <w:rsid w:val="00BD1FEC"/>
    <w:rsid w:val="00BD2D5A"/>
    <w:rsid w:val="00BD2DA7"/>
    <w:rsid w:val="00BE50EB"/>
    <w:rsid w:val="00BF6948"/>
    <w:rsid w:val="00C0524A"/>
    <w:rsid w:val="00C13CE2"/>
    <w:rsid w:val="00C246B8"/>
    <w:rsid w:val="00C246D8"/>
    <w:rsid w:val="00C26DFC"/>
    <w:rsid w:val="00C51AF7"/>
    <w:rsid w:val="00C52EC8"/>
    <w:rsid w:val="00C53B22"/>
    <w:rsid w:val="00C55A36"/>
    <w:rsid w:val="00C5662F"/>
    <w:rsid w:val="00C73FBE"/>
    <w:rsid w:val="00C76FEF"/>
    <w:rsid w:val="00C92AF0"/>
    <w:rsid w:val="00C92DBD"/>
    <w:rsid w:val="00C93456"/>
    <w:rsid w:val="00CA2615"/>
    <w:rsid w:val="00CA409D"/>
    <w:rsid w:val="00CC0E91"/>
    <w:rsid w:val="00CD101A"/>
    <w:rsid w:val="00CD3632"/>
    <w:rsid w:val="00CF108C"/>
    <w:rsid w:val="00CF26B7"/>
    <w:rsid w:val="00CF3DDD"/>
    <w:rsid w:val="00CF4E82"/>
    <w:rsid w:val="00D0306A"/>
    <w:rsid w:val="00D12A66"/>
    <w:rsid w:val="00D23F72"/>
    <w:rsid w:val="00D24B19"/>
    <w:rsid w:val="00D26AE0"/>
    <w:rsid w:val="00D34A9C"/>
    <w:rsid w:val="00D35964"/>
    <w:rsid w:val="00D52003"/>
    <w:rsid w:val="00D54D6A"/>
    <w:rsid w:val="00D55C4B"/>
    <w:rsid w:val="00D646BF"/>
    <w:rsid w:val="00D70283"/>
    <w:rsid w:val="00D7318C"/>
    <w:rsid w:val="00D84BC8"/>
    <w:rsid w:val="00D92420"/>
    <w:rsid w:val="00DA19F0"/>
    <w:rsid w:val="00DA210C"/>
    <w:rsid w:val="00DA30DA"/>
    <w:rsid w:val="00DA519A"/>
    <w:rsid w:val="00DA5AD5"/>
    <w:rsid w:val="00DB7699"/>
    <w:rsid w:val="00DC2CAC"/>
    <w:rsid w:val="00DC61B1"/>
    <w:rsid w:val="00DD6780"/>
    <w:rsid w:val="00DE2243"/>
    <w:rsid w:val="00DE5DF3"/>
    <w:rsid w:val="00DF5D02"/>
    <w:rsid w:val="00DF7099"/>
    <w:rsid w:val="00E025C2"/>
    <w:rsid w:val="00E22FDA"/>
    <w:rsid w:val="00E35FD2"/>
    <w:rsid w:val="00E418AE"/>
    <w:rsid w:val="00E41A6D"/>
    <w:rsid w:val="00E4267D"/>
    <w:rsid w:val="00E45550"/>
    <w:rsid w:val="00E46900"/>
    <w:rsid w:val="00E46B41"/>
    <w:rsid w:val="00E57488"/>
    <w:rsid w:val="00E60BE6"/>
    <w:rsid w:val="00E63E7C"/>
    <w:rsid w:val="00E842F3"/>
    <w:rsid w:val="00E9091D"/>
    <w:rsid w:val="00E927A1"/>
    <w:rsid w:val="00E94AD2"/>
    <w:rsid w:val="00E94BAB"/>
    <w:rsid w:val="00EA0D4E"/>
    <w:rsid w:val="00EB3AF2"/>
    <w:rsid w:val="00ED5A35"/>
    <w:rsid w:val="00ED6E8C"/>
    <w:rsid w:val="00ED6F8A"/>
    <w:rsid w:val="00F0065E"/>
    <w:rsid w:val="00F1645E"/>
    <w:rsid w:val="00F341B7"/>
    <w:rsid w:val="00F44EF7"/>
    <w:rsid w:val="00F92E34"/>
    <w:rsid w:val="00F945FA"/>
    <w:rsid w:val="00FB1644"/>
    <w:rsid w:val="00FD118B"/>
    <w:rsid w:val="00FF23E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 w:type="character" w:styleId="BesuchterLink">
    <w:name w:val="FollowedHyperlink"/>
    <w:basedOn w:val="Absatz-Standardschriftart"/>
    <w:uiPriority w:val="99"/>
    <w:semiHidden/>
    <w:unhideWhenUsed/>
    <w:rsid w:val="002D4D36"/>
    <w:rPr>
      <w:color w:val="954F72" w:themeColor="followedHyperlink"/>
      <w:u w:val="single"/>
    </w:rPr>
  </w:style>
  <w:style w:type="paragraph" w:styleId="Sprechblasentext">
    <w:name w:val="Balloon Text"/>
    <w:basedOn w:val="Standard"/>
    <w:link w:val="SprechblasentextZchn"/>
    <w:uiPriority w:val="99"/>
    <w:semiHidden/>
    <w:unhideWhenUsed/>
    <w:rsid w:val="000913B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913B7"/>
    <w:rPr>
      <w:rFonts w:ascii="Segoe UI" w:hAnsi="Segoe UI" w:cs="Segoe UI"/>
      <w:sz w:val="18"/>
      <w:szCs w:val="18"/>
    </w:rPr>
  </w:style>
  <w:style w:type="paragraph" w:styleId="berarbeitung">
    <w:name w:val="Revision"/>
    <w:hidden/>
    <w:uiPriority w:val="99"/>
    <w:semiHidden/>
    <w:rsid w:val="00E9091D"/>
    <w:pPr>
      <w:spacing w:after="0" w:line="240" w:lineRule="auto"/>
    </w:pPr>
  </w:style>
  <w:style w:type="character" w:styleId="Kommentarzeichen">
    <w:name w:val="annotation reference"/>
    <w:basedOn w:val="Absatz-Standardschriftart"/>
    <w:uiPriority w:val="99"/>
    <w:semiHidden/>
    <w:unhideWhenUsed/>
    <w:rsid w:val="001C7BDF"/>
    <w:rPr>
      <w:sz w:val="16"/>
      <w:szCs w:val="16"/>
    </w:rPr>
  </w:style>
  <w:style w:type="paragraph" w:styleId="Kommentartext">
    <w:name w:val="annotation text"/>
    <w:basedOn w:val="Standard"/>
    <w:link w:val="KommentartextZchn"/>
    <w:uiPriority w:val="99"/>
    <w:semiHidden/>
    <w:unhideWhenUsed/>
    <w:rsid w:val="001C7BD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7BDF"/>
    <w:rPr>
      <w:sz w:val="20"/>
      <w:szCs w:val="20"/>
    </w:rPr>
  </w:style>
  <w:style w:type="paragraph" w:styleId="Kommentarthema">
    <w:name w:val="annotation subject"/>
    <w:basedOn w:val="Kommentartext"/>
    <w:next w:val="Kommentartext"/>
    <w:link w:val="KommentarthemaZchn"/>
    <w:uiPriority w:val="99"/>
    <w:semiHidden/>
    <w:unhideWhenUsed/>
    <w:rsid w:val="001C7BDF"/>
    <w:rPr>
      <w:b/>
      <w:bCs/>
    </w:rPr>
  </w:style>
  <w:style w:type="character" w:customStyle="1" w:styleId="KommentarthemaZchn">
    <w:name w:val="Kommentarthema Zchn"/>
    <w:basedOn w:val="KommentartextZchn"/>
    <w:link w:val="Kommentarthema"/>
    <w:uiPriority w:val="99"/>
    <w:semiHidden/>
    <w:rsid w:val="001C7BD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53">
      <w:bodyDiv w:val="1"/>
      <w:marLeft w:val="0"/>
      <w:marRight w:val="0"/>
      <w:marTop w:val="0"/>
      <w:marBottom w:val="0"/>
      <w:divBdr>
        <w:top w:val="none" w:sz="0" w:space="0" w:color="auto"/>
        <w:left w:val="none" w:sz="0" w:space="0" w:color="auto"/>
        <w:bottom w:val="none" w:sz="0" w:space="0" w:color="auto"/>
        <w:right w:val="none" w:sz="0" w:space="0" w:color="auto"/>
      </w:divBdr>
    </w:div>
    <w:div w:id="91300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5252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Claudia Mäder</cp:lastModifiedBy>
  <cp:revision>5</cp:revision>
  <dcterms:created xsi:type="dcterms:W3CDTF">2022-07-03T10:22:00Z</dcterms:created>
  <dcterms:modified xsi:type="dcterms:W3CDTF">2022-07-28T12:41:00Z</dcterms:modified>
</cp:coreProperties>
</file>