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Pr="008C0CFB" w:rsidRDefault="006F21B2" w:rsidP="00442798">
      <w:pPr>
        <w:spacing w:after="0"/>
        <w:rPr>
          <w:rFonts w:ascii="Arial" w:hAnsi="Arial" w:cs="Arial"/>
        </w:rPr>
      </w:pPr>
    </w:p>
    <w:p w14:paraId="38213374" w14:textId="77777777" w:rsidR="006F21B2" w:rsidRPr="008C0CFB" w:rsidRDefault="006F21B2" w:rsidP="00442798">
      <w:pPr>
        <w:spacing w:after="0"/>
        <w:rPr>
          <w:rFonts w:ascii="Arial" w:hAnsi="Arial" w:cs="Arial"/>
        </w:rPr>
      </w:pPr>
    </w:p>
    <w:p w14:paraId="12CD72B0" w14:textId="77777777" w:rsidR="006F21B2" w:rsidRPr="008C0CFB" w:rsidRDefault="006F21B2" w:rsidP="00442798">
      <w:pPr>
        <w:spacing w:after="0"/>
        <w:rPr>
          <w:rFonts w:ascii="Arial" w:hAnsi="Arial" w:cs="Arial"/>
        </w:rPr>
      </w:pPr>
    </w:p>
    <w:p w14:paraId="5EBFFF53" w14:textId="6EC9813F" w:rsidR="006F21B2" w:rsidRPr="008C0CFB" w:rsidRDefault="006F21B2" w:rsidP="00442798">
      <w:pPr>
        <w:spacing w:after="0"/>
        <w:rPr>
          <w:rFonts w:ascii="Arial" w:hAnsi="Arial" w:cs="Arial"/>
        </w:rPr>
      </w:pPr>
      <w:r w:rsidRPr="008C0CFB">
        <w:rPr>
          <w:rFonts w:ascii="Arial" w:hAnsi="Arial" w:cs="Arial"/>
        </w:rPr>
        <w:t xml:space="preserve">Zürich, </w:t>
      </w:r>
      <w:r w:rsidR="002155F9">
        <w:rPr>
          <w:rFonts w:ascii="Arial" w:hAnsi="Arial" w:cs="Arial"/>
        </w:rPr>
        <w:t>5. März</w:t>
      </w:r>
      <w:r w:rsidR="00292C78" w:rsidRPr="008C0CFB">
        <w:rPr>
          <w:rFonts w:ascii="Arial" w:hAnsi="Arial" w:cs="Arial"/>
        </w:rPr>
        <w:t xml:space="preserve"> 2024</w:t>
      </w:r>
    </w:p>
    <w:p w14:paraId="06B2FD2E" w14:textId="77777777" w:rsidR="006F21B2" w:rsidRPr="008C0CFB" w:rsidRDefault="006F21B2" w:rsidP="00442798">
      <w:pPr>
        <w:spacing w:after="0"/>
        <w:rPr>
          <w:rFonts w:ascii="Arial" w:hAnsi="Arial" w:cs="Arial"/>
          <w:sz w:val="28"/>
        </w:rPr>
      </w:pPr>
    </w:p>
    <w:p w14:paraId="1BA78203" w14:textId="7D641B59" w:rsidR="006F21B2" w:rsidRPr="008C0CFB" w:rsidRDefault="006F21B2" w:rsidP="00442798">
      <w:pPr>
        <w:spacing w:after="0"/>
        <w:rPr>
          <w:rFonts w:ascii="Arial" w:hAnsi="Arial" w:cs="Arial"/>
          <w:sz w:val="28"/>
        </w:rPr>
      </w:pPr>
    </w:p>
    <w:p w14:paraId="04337EB1" w14:textId="0366D38E" w:rsidR="006F21B2" w:rsidRPr="008C0CFB" w:rsidRDefault="00A32382" w:rsidP="00442798">
      <w:pPr>
        <w:spacing w:after="0"/>
        <w:rPr>
          <w:rFonts w:ascii="Arial" w:hAnsi="Arial" w:cs="Arial"/>
          <w:b/>
          <w:sz w:val="28"/>
        </w:rPr>
      </w:pPr>
      <w:r w:rsidRPr="008C0CFB">
        <w:rPr>
          <w:rFonts w:ascii="Arial" w:hAnsi="Arial" w:cs="Arial"/>
          <w:b/>
          <w:sz w:val="28"/>
        </w:rPr>
        <w:t>Pressebericht</w:t>
      </w:r>
    </w:p>
    <w:p w14:paraId="468FF85C" w14:textId="77777777" w:rsidR="006F21B2" w:rsidRPr="008C0CFB" w:rsidRDefault="006F21B2" w:rsidP="00442798">
      <w:pPr>
        <w:pBdr>
          <w:bottom w:val="single" w:sz="12" w:space="1" w:color="auto"/>
        </w:pBdr>
        <w:spacing w:after="0"/>
        <w:rPr>
          <w:rFonts w:ascii="Arial" w:hAnsi="Arial" w:cs="Arial"/>
          <w:sz w:val="28"/>
        </w:rPr>
      </w:pPr>
    </w:p>
    <w:p w14:paraId="1C37B3C5" w14:textId="77777777" w:rsidR="006F21B2" w:rsidRPr="008C0CFB" w:rsidRDefault="006F21B2" w:rsidP="00442798">
      <w:pPr>
        <w:spacing w:after="0"/>
        <w:rPr>
          <w:rFonts w:ascii="Arial" w:hAnsi="Arial" w:cs="Arial"/>
          <w:sz w:val="28"/>
        </w:rPr>
      </w:pPr>
    </w:p>
    <w:p w14:paraId="1FF857F2" w14:textId="0E250D11" w:rsidR="006F21B2" w:rsidRPr="008C0CFB" w:rsidRDefault="006F21B2" w:rsidP="00442798">
      <w:pPr>
        <w:spacing w:after="0" w:line="240" w:lineRule="auto"/>
        <w:rPr>
          <w:rFonts w:ascii="Arial" w:hAnsi="Arial" w:cs="Arial"/>
          <w:i/>
          <w:sz w:val="20"/>
        </w:rPr>
      </w:pPr>
      <w:r w:rsidRPr="008C0CFB">
        <w:rPr>
          <w:rFonts w:ascii="Arial" w:hAnsi="Arial" w:cs="Arial"/>
          <w:i/>
          <w:sz w:val="20"/>
        </w:rPr>
        <w:t>Umfang: ca.</w:t>
      </w:r>
      <w:r w:rsidR="007855EC" w:rsidRPr="008C0CFB">
        <w:rPr>
          <w:rFonts w:ascii="Arial" w:hAnsi="Arial" w:cs="Arial"/>
          <w:i/>
          <w:sz w:val="20"/>
        </w:rPr>
        <w:t xml:space="preserve"> </w:t>
      </w:r>
      <w:r w:rsidR="006439AB">
        <w:rPr>
          <w:rFonts w:ascii="Arial" w:hAnsi="Arial" w:cs="Arial"/>
          <w:i/>
          <w:sz w:val="20"/>
        </w:rPr>
        <w:t>7’</w:t>
      </w:r>
      <w:r w:rsidR="00E93638">
        <w:rPr>
          <w:rFonts w:ascii="Arial" w:hAnsi="Arial" w:cs="Arial"/>
          <w:i/>
          <w:sz w:val="20"/>
        </w:rPr>
        <w:t>85</w:t>
      </w:r>
      <w:r w:rsidR="0070119E" w:rsidRPr="008C0CFB">
        <w:rPr>
          <w:rFonts w:ascii="Arial" w:hAnsi="Arial" w:cs="Arial"/>
          <w:i/>
          <w:sz w:val="20"/>
        </w:rPr>
        <w:t>0</w:t>
      </w:r>
      <w:r w:rsidR="007855EC" w:rsidRPr="008C0CFB">
        <w:rPr>
          <w:rFonts w:ascii="Arial" w:hAnsi="Arial" w:cs="Arial"/>
          <w:i/>
          <w:sz w:val="20"/>
        </w:rPr>
        <w:t xml:space="preserve"> </w:t>
      </w:r>
      <w:r w:rsidRPr="008C0CFB">
        <w:rPr>
          <w:rFonts w:ascii="Arial" w:hAnsi="Arial" w:cs="Arial"/>
          <w:i/>
          <w:sz w:val="20"/>
        </w:rPr>
        <w:t xml:space="preserve">Zeichen, </w:t>
      </w:r>
      <w:r w:rsidR="00C52EC8" w:rsidRPr="008C0CFB">
        <w:rPr>
          <w:rFonts w:ascii="Arial" w:hAnsi="Arial" w:cs="Arial"/>
          <w:i/>
          <w:sz w:val="20"/>
        </w:rPr>
        <w:t xml:space="preserve">Text </w:t>
      </w:r>
      <w:r w:rsidRPr="008C0CFB">
        <w:rPr>
          <w:rFonts w:ascii="Arial" w:hAnsi="Arial" w:cs="Arial"/>
          <w:i/>
          <w:sz w:val="20"/>
        </w:rPr>
        <w:t>inkl. Lead</w:t>
      </w:r>
      <w:r w:rsidR="000802C1" w:rsidRPr="008C0CFB">
        <w:rPr>
          <w:rFonts w:ascii="Arial" w:hAnsi="Arial" w:cs="Arial"/>
          <w:i/>
          <w:sz w:val="20"/>
        </w:rPr>
        <w:t>,</w:t>
      </w:r>
      <w:r w:rsidR="00577B91" w:rsidRPr="008C0CFB">
        <w:rPr>
          <w:rFonts w:ascii="Arial" w:hAnsi="Arial" w:cs="Arial"/>
          <w:i/>
          <w:sz w:val="20"/>
        </w:rPr>
        <w:t xml:space="preserve"> Zwischentitel</w:t>
      </w:r>
      <w:r w:rsidR="00D01C11">
        <w:rPr>
          <w:rFonts w:ascii="Arial" w:hAnsi="Arial" w:cs="Arial"/>
          <w:i/>
          <w:sz w:val="20"/>
        </w:rPr>
        <w:t xml:space="preserve"> </w:t>
      </w:r>
      <w:r w:rsidR="008C0EF4" w:rsidRPr="008C0CFB">
        <w:rPr>
          <w:rFonts w:ascii="Arial" w:hAnsi="Arial" w:cs="Arial"/>
          <w:i/>
          <w:sz w:val="20"/>
        </w:rPr>
        <w:t>sowie</w:t>
      </w:r>
      <w:r w:rsidRPr="008C0CFB">
        <w:rPr>
          <w:rFonts w:ascii="Arial" w:hAnsi="Arial" w:cs="Arial"/>
          <w:i/>
          <w:sz w:val="20"/>
        </w:rPr>
        <w:t xml:space="preserve"> Leerschläge, ohne Titel</w:t>
      </w:r>
      <w:r w:rsidR="008C0EF4" w:rsidRPr="008C0CFB">
        <w:rPr>
          <w:rFonts w:ascii="Arial" w:hAnsi="Arial" w:cs="Arial"/>
          <w:i/>
          <w:sz w:val="20"/>
        </w:rPr>
        <w:t xml:space="preserve">, Kasten Holzenergie Schweiz </w:t>
      </w:r>
      <w:r w:rsidRPr="008C0CFB">
        <w:rPr>
          <w:rFonts w:ascii="Arial" w:hAnsi="Arial" w:cs="Arial"/>
          <w:i/>
          <w:sz w:val="20"/>
        </w:rPr>
        <w:t xml:space="preserve">und </w:t>
      </w:r>
      <w:r w:rsidR="008C0EF4" w:rsidRPr="008C0CFB">
        <w:rPr>
          <w:rFonts w:ascii="Arial" w:hAnsi="Arial" w:cs="Arial"/>
          <w:i/>
          <w:sz w:val="20"/>
        </w:rPr>
        <w:t>Bildlegenden</w:t>
      </w:r>
    </w:p>
    <w:p w14:paraId="1552AE6A" w14:textId="77777777" w:rsidR="006F21B2" w:rsidRPr="008C0CFB" w:rsidRDefault="006F21B2" w:rsidP="00442798">
      <w:pPr>
        <w:pBdr>
          <w:bottom w:val="single" w:sz="12" w:space="1" w:color="auto"/>
        </w:pBdr>
        <w:spacing w:after="0"/>
        <w:rPr>
          <w:rFonts w:ascii="Arial" w:hAnsi="Arial" w:cs="Arial"/>
          <w:sz w:val="28"/>
        </w:rPr>
      </w:pPr>
    </w:p>
    <w:p w14:paraId="1FF9E7A2" w14:textId="77777777" w:rsidR="006F21B2" w:rsidRPr="008C0CFB" w:rsidRDefault="006F21B2" w:rsidP="00442798">
      <w:pPr>
        <w:spacing w:after="0"/>
        <w:rPr>
          <w:rFonts w:ascii="Arial" w:hAnsi="Arial" w:cs="Arial"/>
          <w:sz w:val="28"/>
        </w:rPr>
      </w:pPr>
    </w:p>
    <w:p w14:paraId="00A8BD96" w14:textId="41513E98" w:rsidR="000142AF" w:rsidRPr="000142AF" w:rsidRDefault="000142AF" w:rsidP="00442798">
      <w:pPr>
        <w:spacing w:after="0"/>
        <w:rPr>
          <w:rFonts w:ascii="Arial" w:hAnsi="Arial" w:cs="Arial"/>
          <w:bCs/>
        </w:rPr>
      </w:pPr>
      <w:r w:rsidRPr="000142AF">
        <w:rPr>
          <w:rFonts w:ascii="Arial" w:hAnsi="Arial" w:cs="Arial"/>
          <w:bCs/>
        </w:rPr>
        <w:t>Titelvorschläge</w:t>
      </w:r>
    </w:p>
    <w:p w14:paraId="6304A8A3" w14:textId="1FA4644E" w:rsidR="00882101" w:rsidRDefault="0027620A" w:rsidP="00442798">
      <w:pPr>
        <w:spacing w:after="0"/>
        <w:rPr>
          <w:rFonts w:ascii="Arial" w:hAnsi="Arial" w:cs="Arial"/>
          <w:b/>
          <w:sz w:val="28"/>
        </w:rPr>
      </w:pPr>
      <w:r w:rsidRPr="008C0CFB">
        <w:rPr>
          <w:rFonts w:ascii="Arial" w:hAnsi="Arial" w:cs="Arial"/>
          <w:b/>
          <w:sz w:val="28"/>
        </w:rPr>
        <w:t>Zuwenig Energieholz? Monitoring schafft Klarheit</w:t>
      </w:r>
    </w:p>
    <w:p w14:paraId="7B3E5292" w14:textId="37BE6E90" w:rsidR="000142AF" w:rsidRDefault="000142AF" w:rsidP="00442798">
      <w:pPr>
        <w:spacing w:after="0"/>
        <w:rPr>
          <w:rFonts w:ascii="Arial" w:hAnsi="Arial" w:cs="Arial"/>
          <w:b/>
          <w:sz w:val="28"/>
        </w:rPr>
      </w:pPr>
      <w:r>
        <w:rPr>
          <w:rFonts w:ascii="Arial" w:hAnsi="Arial" w:cs="Arial"/>
          <w:b/>
          <w:sz w:val="28"/>
        </w:rPr>
        <w:t>Begrenztes Energieholz effizient nutzen</w:t>
      </w:r>
    </w:p>
    <w:p w14:paraId="36C6E9C3" w14:textId="0CCEAFC0" w:rsidR="00E63A03" w:rsidRDefault="00E63A03" w:rsidP="00442798">
      <w:pPr>
        <w:spacing w:after="0"/>
        <w:rPr>
          <w:rFonts w:ascii="Arial" w:hAnsi="Arial" w:cs="Arial"/>
          <w:b/>
          <w:sz w:val="28"/>
        </w:rPr>
      </w:pPr>
      <w:r>
        <w:rPr>
          <w:rFonts w:ascii="Arial" w:hAnsi="Arial" w:cs="Arial"/>
          <w:b/>
          <w:sz w:val="28"/>
        </w:rPr>
        <w:t>Energieholz</w:t>
      </w:r>
      <w:r w:rsidR="00E93638">
        <w:rPr>
          <w:rFonts w:ascii="Arial" w:hAnsi="Arial" w:cs="Arial"/>
          <w:b/>
          <w:sz w:val="28"/>
        </w:rPr>
        <w:t>versorgung trotz hoher Nutzung jederzeit sichergestellt</w:t>
      </w:r>
    </w:p>
    <w:p w14:paraId="33492129" w14:textId="77777777" w:rsidR="0027620A" w:rsidRPr="008C0CFB" w:rsidRDefault="0027620A" w:rsidP="00442798">
      <w:pPr>
        <w:spacing w:after="0"/>
        <w:rPr>
          <w:rFonts w:ascii="Arial" w:hAnsi="Arial" w:cs="Arial"/>
          <w:b/>
          <w:sz w:val="28"/>
        </w:rPr>
      </w:pPr>
    </w:p>
    <w:p w14:paraId="153D1C9D" w14:textId="7D4A0BDD" w:rsidR="00EC0C6F" w:rsidRPr="008C0CFB" w:rsidRDefault="00B623C4" w:rsidP="00FB7C48">
      <w:pPr>
        <w:spacing w:after="0"/>
        <w:rPr>
          <w:rFonts w:ascii="Arial" w:hAnsi="Arial" w:cs="Arial"/>
          <w:bCs/>
        </w:rPr>
      </w:pPr>
      <w:r w:rsidRPr="008C0CFB">
        <w:rPr>
          <w:rFonts w:ascii="Arial" w:hAnsi="Arial" w:cs="Arial"/>
          <w:b/>
        </w:rPr>
        <w:t xml:space="preserve">Holz ist wertvoll. Es ist einheimisch und wächst im Wald nach. Ersetzt man Beton, Stahl, Gas oder Heizöl durch Holz, ist dies ein Beitrag gegen die Klimaerhitzung. Kein Wunder also, dass Holz </w:t>
      </w:r>
      <w:r w:rsidR="0015233D" w:rsidRPr="008C0CFB">
        <w:rPr>
          <w:rFonts w:ascii="Arial" w:hAnsi="Arial" w:cs="Arial"/>
          <w:b/>
        </w:rPr>
        <w:t>heute ein</w:t>
      </w:r>
      <w:r w:rsidRPr="008C0CFB">
        <w:rPr>
          <w:rFonts w:ascii="Arial" w:hAnsi="Arial" w:cs="Arial"/>
          <w:b/>
        </w:rPr>
        <w:t xml:space="preserve"> gefragte</w:t>
      </w:r>
      <w:r w:rsidR="0015233D" w:rsidRPr="008C0CFB">
        <w:rPr>
          <w:rFonts w:ascii="Arial" w:hAnsi="Arial" w:cs="Arial"/>
          <w:b/>
        </w:rPr>
        <w:t>r</w:t>
      </w:r>
      <w:r w:rsidRPr="008C0CFB">
        <w:rPr>
          <w:rFonts w:ascii="Arial" w:hAnsi="Arial" w:cs="Arial"/>
          <w:b/>
        </w:rPr>
        <w:t xml:space="preserve"> Rohstoff </w:t>
      </w:r>
      <w:r w:rsidR="0015233D" w:rsidRPr="008C0CFB">
        <w:rPr>
          <w:rFonts w:ascii="Arial" w:hAnsi="Arial" w:cs="Arial"/>
          <w:b/>
        </w:rPr>
        <w:t>ist</w:t>
      </w:r>
      <w:r w:rsidRPr="008C0CFB">
        <w:rPr>
          <w:rFonts w:ascii="Arial" w:hAnsi="Arial" w:cs="Arial"/>
          <w:b/>
        </w:rPr>
        <w:t xml:space="preserve">. Seit mehr als </w:t>
      </w:r>
      <w:r w:rsidR="0015233D" w:rsidRPr="008C0CFB">
        <w:rPr>
          <w:rFonts w:ascii="Arial" w:hAnsi="Arial" w:cs="Arial"/>
          <w:b/>
        </w:rPr>
        <w:t>4</w:t>
      </w:r>
      <w:r w:rsidRPr="008C0CFB">
        <w:rPr>
          <w:rFonts w:ascii="Arial" w:hAnsi="Arial" w:cs="Arial"/>
          <w:b/>
        </w:rPr>
        <w:t>0 Jahren fördert die Schweiz die Nutzung der Holzenergie. Und zwar so erfolgreich, dass man sich da und dort den Grenzen des Potenzials nähert.</w:t>
      </w:r>
      <w:r w:rsidR="0015233D" w:rsidRPr="008C0CFB">
        <w:rPr>
          <w:rFonts w:ascii="Arial" w:hAnsi="Arial" w:cs="Arial"/>
          <w:b/>
        </w:rPr>
        <w:t xml:space="preserve"> </w:t>
      </w:r>
    </w:p>
    <w:p w14:paraId="078C55C1" w14:textId="77777777" w:rsidR="00EC0C6F" w:rsidRPr="008C0CFB" w:rsidRDefault="00EC0C6F" w:rsidP="00FB7C48">
      <w:pPr>
        <w:spacing w:after="0"/>
        <w:rPr>
          <w:rFonts w:ascii="Arial" w:hAnsi="Arial" w:cs="Arial"/>
          <w:bCs/>
        </w:rPr>
      </w:pPr>
    </w:p>
    <w:p w14:paraId="78FB0BDF" w14:textId="00A58B7E" w:rsidR="001030E2" w:rsidRPr="008C0CFB" w:rsidRDefault="001030E2" w:rsidP="00FB7C48">
      <w:pPr>
        <w:spacing w:after="0"/>
        <w:rPr>
          <w:rFonts w:ascii="Arial" w:hAnsi="Arial" w:cs="Arial"/>
          <w:bCs/>
        </w:rPr>
      </w:pPr>
      <w:r w:rsidRPr="008C0CFB">
        <w:rPr>
          <w:rFonts w:ascii="Arial" w:hAnsi="Arial" w:cs="Arial"/>
          <w:bCs/>
        </w:rPr>
        <w:t xml:space="preserve">Bis etwa 2021 war die Energieholzversorgung </w:t>
      </w:r>
      <w:r w:rsidR="00980D97" w:rsidRPr="008C0CFB">
        <w:rPr>
          <w:rFonts w:ascii="Arial" w:hAnsi="Arial" w:cs="Arial"/>
          <w:bCs/>
        </w:rPr>
        <w:t xml:space="preserve">während Jahrzehnten </w:t>
      </w:r>
      <w:r w:rsidRPr="008C0CFB">
        <w:rPr>
          <w:rFonts w:ascii="Arial" w:hAnsi="Arial" w:cs="Arial"/>
          <w:bCs/>
        </w:rPr>
        <w:t>ein Nachfragemarkt</w:t>
      </w:r>
      <w:r w:rsidR="000F1E99" w:rsidRPr="008C0CFB">
        <w:rPr>
          <w:rFonts w:ascii="Arial" w:hAnsi="Arial" w:cs="Arial"/>
          <w:bCs/>
        </w:rPr>
        <w:t>, e</w:t>
      </w:r>
      <w:r w:rsidRPr="008C0CFB">
        <w:rPr>
          <w:rFonts w:ascii="Arial" w:hAnsi="Arial" w:cs="Arial"/>
          <w:bCs/>
        </w:rPr>
        <w:t>ntsprechend tief waren die Holzpreise</w:t>
      </w:r>
      <w:r w:rsidR="000F1E99" w:rsidRPr="008C0CFB">
        <w:rPr>
          <w:rFonts w:ascii="Arial" w:hAnsi="Arial" w:cs="Arial"/>
          <w:bCs/>
        </w:rPr>
        <w:t xml:space="preserve">. </w:t>
      </w:r>
      <w:r w:rsidR="000142AF">
        <w:rPr>
          <w:rFonts w:ascii="Arial" w:hAnsi="Arial" w:cs="Arial"/>
          <w:bCs/>
        </w:rPr>
        <w:t>Dann</w:t>
      </w:r>
      <w:r w:rsidRPr="008C0CFB">
        <w:rPr>
          <w:rFonts w:ascii="Arial" w:hAnsi="Arial" w:cs="Arial"/>
          <w:bCs/>
        </w:rPr>
        <w:t xml:space="preserve"> </w:t>
      </w:r>
      <w:r w:rsidR="00980D97" w:rsidRPr="008C0CFB">
        <w:rPr>
          <w:rFonts w:ascii="Arial" w:hAnsi="Arial" w:cs="Arial"/>
          <w:bCs/>
        </w:rPr>
        <w:t>drehte</w:t>
      </w:r>
      <w:r w:rsidRPr="008C0CFB">
        <w:rPr>
          <w:rFonts w:ascii="Arial" w:hAnsi="Arial" w:cs="Arial"/>
          <w:bCs/>
        </w:rPr>
        <w:t xml:space="preserve"> der Wind</w:t>
      </w:r>
      <w:r w:rsidR="00980D97" w:rsidRPr="008C0CFB">
        <w:rPr>
          <w:rFonts w:ascii="Arial" w:hAnsi="Arial" w:cs="Arial"/>
          <w:bCs/>
        </w:rPr>
        <w:t xml:space="preserve">. </w:t>
      </w:r>
      <w:r w:rsidR="008024C8" w:rsidRPr="008C0CFB">
        <w:rPr>
          <w:rFonts w:ascii="Arial" w:hAnsi="Arial" w:cs="Arial"/>
          <w:bCs/>
        </w:rPr>
        <w:t xml:space="preserve">Energieholz stand plötzlich im Mittelpunkt des Interesses. </w:t>
      </w:r>
      <w:r w:rsidR="00980D97" w:rsidRPr="008C0CFB">
        <w:rPr>
          <w:rFonts w:ascii="Arial" w:hAnsi="Arial" w:cs="Arial"/>
          <w:bCs/>
        </w:rPr>
        <w:t xml:space="preserve">Ein Angebotsmarkt übernahm das Zepter, die Energieholzpreise stiegen an. Ursachen für den fundamentalen Wechsel waren attraktive Förderprogramme, die Pandemie, der Ukrainekrieg, der immer präsentere Klimawandel und stark gestiegene </w:t>
      </w:r>
      <w:r w:rsidR="008024C8" w:rsidRPr="008C0CFB">
        <w:rPr>
          <w:rFonts w:ascii="Arial" w:hAnsi="Arial" w:cs="Arial"/>
          <w:bCs/>
        </w:rPr>
        <w:t>Öl-, Gas- und Strom</w:t>
      </w:r>
      <w:r w:rsidR="00980D97" w:rsidRPr="008C0CFB">
        <w:rPr>
          <w:rFonts w:ascii="Arial" w:hAnsi="Arial" w:cs="Arial"/>
          <w:bCs/>
        </w:rPr>
        <w:t>preise. Die Situation spitzte sich im Winter 2022/23 derart zu, dass sich die Wirtschaftliche Landesversorgung des Themas Energieholz annehmen musste.</w:t>
      </w:r>
      <w:r w:rsidR="000F1E99" w:rsidRPr="008C0CFB">
        <w:rPr>
          <w:rFonts w:ascii="Arial" w:hAnsi="Arial" w:cs="Arial"/>
          <w:bCs/>
        </w:rPr>
        <w:t xml:space="preserve"> </w:t>
      </w:r>
      <w:r w:rsidR="00126B03">
        <w:rPr>
          <w:rFonts w:ascii="Arial" w:hAnsi="Arial" w:cs="Arial"/>
          <w:bCs/>
        </w:rPr>
        <w:t xml:space="preserve">Letztlich gelang es der ganzen Branche jedoch, die Versorgung mit allen Energieholzsortimenten jederzeit sicherzustellen. </w:t>
      </w:r>
      <w:r w:rsidR="008024C8" w:rsidRPr="008C0CFB">
        <w:rPr>
          <w:rFonts w:ascii="Arial" w:hAnsi="Arial" w:cs="Arial"/>
          <w:bCs/>
        </w:rPr>
        <w:t>Holzenergie Schweiz verwies auf</w:t>
      </w:r>
      <w:r w:rsidR="000F1E99" w:rsidRPr="008C0CFB">
        <w:rPr>
          <w:rFonts w:ascii="Arial" w:hAnsi="Arial" w:cs="Arial"/>
          <w:bCs/>
        </w:rPr>
        <w:t xml:space="preserve"> zahlreiche Projektideen für grosse Holzheizkraftwerke im städtischen Raum, deren Versorgung mit Holz die Grenzen einer nachhaltigen Waldbewirtschaftung </w:t>
      </w:r>
      <w:r w:rsidR="008024C8" w:rsidRPr="008C0CFB">
        <w:rPr>
          <w:rFonts w:ascii="Arial" w:hAnsi="Arial" w:cs="Arial"/>
          <w:bCs/>
        </w:rPr>
        <w:t>zu sprengen drohten</w:t>
      </w:r>
      <w:r w:rsidR="000F1E99" w:rsidRPr="008C0CFB">
        <w:rPr>
          <w:rFonts w:ascii="Arial" w:hAnsi="Arial" w:cs="Arial"/>
          <w:bCs/>
        </w:rPr>
        <w:t xml:space="preserve">. </w:t>
      </w:r>
      <w:r w:rsidR="008024C8" w:rsidRPr="008C0CFB">
        <w:rPr>
          <w:rFonts w:ascii="Arial" w:hAnsi="Arial" w:cs="Arial"/>
          <w:bCs/>
        </w:rPr>
        <w:t>Es setzte eine gewisse Verunsicherung ein, befeuert durch die Frage</w:t>
      </w:r>
      <w:r w:rsidR="004851EA" w:rsidRPr="008C0CFB">
        <w:rPr>
          <w:rFonts w:ascii="Arial" w:hAnsi="Arial" w:cs="Arial"/>
          <w:bCs/>
        </w:rPr>
        <w:t>n</w:t>
      </w:r>
      <w:r w:rsidR="008024C8" w:rsidRPr="008C0CFB">
        <w:rPr>
          <w:rFonts w:ascii="Arial" w:hAnsi="Arial" w:cs="Arial"/>
          <w:bCs/>
        </w:rPr>
        <w:t xml:space="preserve">, wieviel Holz denn heute bereits energetisch genutzt wird </w:t>
      </w:r>
      <w:r w:rsidR="000142AF">
        <w:rPr>
          <w:rFonts w:ascii="Arial" w:hAnsi="Arial" w:cs="Arial"/>
          <w:bCs/>
        </w:rPr>
        <w:t>re</w:t>
      </w:r>
      <w:r w:rsidR="004159F2">
        <w:rPr>
          <w:rFonts w:ascii="Arial" w:hAnsi="Arial" w:cs="Arial"/>
          <w:bCs/>
        </w:rPr>
        <w:t>s</w:t>
      </w:r>
      <w:r w:rsidR="000142AF">
        <w:rPr>
          <w:rFonts w:ascii="Arial" w:hAnsi="Arial" w:cs="Arial"/>
          <w:bCs/>
        </w:rPr>
        <w:t>pektive</w:t>
      </w:r>
      <w:r w:rsidR="008024C8" w:rsidRPr="008C0CFB">
        <w:rPr>
          <w:rFonts w:ascii="Arial" w:hAnsi="Arial" w:cs="Arial"/>
          <w:bCs/>
        </w:rPr>
        <w:t xml:space="preserve"> noch zusätzlich zur Verfügung steht. </w:t>
      </w:r>
    </w:p>
    <w:p w14:paraId="662027F8" w14:textId="685AB664" w:rsidR="001030E2" w:rsidRPr="008C0CFB" w:rsidRDefault="008024C8" w:rsidP="004851EA">
      <w:pPr>
        <w:rPr>
          <w:rFonts w:ascii="Arial" w:hAnsi="Arial" w:cs="Arial"/>
          <w:bCs/>
        </w:rPr>
      </w:pPr>
      <w:r w:rsidRPr="008C0CFB">
        <w:rPr>
          <w:rFonts w:ascii="Arial" w:hAnsi="Arial" w:cs="Arial"/>
        </w:rPr>
        <w:t xml:space="preserve">Das Bundesamt für Umwelt BAFU erteilte Holzenergie Schweiz im Rahmen des Aktionsplans Holz den Auftrag, die Fragen mit einer </w:t>
      </w:r>
      <w:r w:rsidRPr="008C0CFB">
        <w:rPr>
          <w:rFonts w:ascii="Arial" w:hAnsi="Arial" w:cs="Arial"/>
          <w:i/>
          <w:iCs/>
        </w:rPr>
        <w:t>Monitoring-Studie Holzenergie 2023</w:t>
      </w:r>
      <w:r w:rsidRPr="008C0CFB">
        <w:rPr>
          <w:rFonts w:ascii="Arial" w:hAnsi="Arial" w:cs="Arial"/>
        </w:rPr>
        <w:t xml:space="preserve"> zu </w:t>
      </w:r>
      <w:r w:rsidR="004851EA" w:rsidRPr="008C0CFB">
        <w:rPr>
          <w:rFonts w:ascii="Arial" w:hAnsi="Arial" w:cs="Arial"/>
        </w:rPr>
        <w:t>klären</w:t>
      </w:r>
      <w:r w:rsidRPr="008C0CFB">
        <w:rPr>
          <w:rFonts w:ascii="Arial" w:hAnsi="Arial" w:cs="Arial"/>
        </w:rPr>
        <w:t xml:space="preserve"> und Entscheidungsgrundlagen für eine geordnete Marktentwicklung </w:t>
      </w:r>
      <w:r w:rsidR="00925D45" w:rsidRPr="008C0CFB">
        <w:rPr>
          <w:rFonts w:ascii="Arial" w:hAnsi="Arial" w:cs="Arial"/>
        </w:rPr>
        <w:t xml:space="preserve">2024 bis 2026 </w:t>
      </w:r>
      <w:r w:rsidRPr="008C0CFB">
        <w:rPr>
          <w:rFonts w:ascii="Arial" w:hAnsi="Arial" w:cs="Arial"/>
        </w:rPr>
        <w:t>im Sinne der höchstmöglichen Ressourceneffizienz bereitzustellen.</w:t>
      </w:r>
      <w:r w:rsidR="004851EA" w:rsidRPr="008C0CFB">
        <w:rPr>
          <w:rFonts w:ascii="Arial" w:hAnsi="Arial" w:cs="Arial"/>
        </w:rPr>
        <w:t xml:space="preserve"> Aufgrund von Analysen bestehender Erhebungsmethoden, Statistiken, Datenquellen </w:t>
      </w:r>
      <w:r w:rsidR="00D302B0" w:rsidRPr="008C0CFB">
        <w:rPr>
          <w:rFonts w:ascii="Arial" w:hAnsi="Arial" w:cs="Arial"/>
        </w:rPr>
        <w:t xml:space="preserve">etc. sollen der aktuelle </w:t>
      </w:r>
      <w:r w:rsidR="00D302B0" w:rsidRPr="008C0CFB">
        <w:rPr>
          <w:rFonts w:ascii="Arial" w:hAnsi="Arial" w:cs="Arial"/>
        </w:rPr>
        <w:lastRenderedPageBreak/>
        <w:t>Verbrauch, das noch verfügbare Potenzial sowie die zukünftige Nachfrage dargestellt werden. Dabei gilt es, Einflussfaktoren wie klimatische, energetische, politische sowie wirtschaftliche Rahmenbedingungen abzuschätzen und zu beurteilen und im Rahmen eines periodischen Monitorings in den nächsten Jahren die bisherige und künftig mögliche Marktentwicklung aufzuzeigen.</w:t>
      </w:r>
    </w:p>
    <w:p w14:paraId="718ECDB0" w14:textId="24302D5D" w:rsidR="001030E2" w:rsidRPr="008C0CFB" w:rsidRDefault="00770347" w:rsidP="00FB7C48">
      <w:pPr>
        <w:spacing w:after="0"/>
        <w:rPr>
          <w:rFonts w:ascii="Arial" w:hAnsi="Arial" w:cs="Arial"/>
          <w:b/>
        </w:rPr>
      </w:pPr>
      <w:r w:rsidRPr="008C0CFB">
        <w:rPr>
          <w:rFonts w:ascii="Arial" w:hAnsi="Arial" w:cs="Arial"/>
          <w:b/>
        </w:rPr>
        <w:t>Wieviel Energieholz wird heute genutzt?</w:t>
      </w:r>
    </w:p>
    <w:p w14:paraId="0D33926E" w14:textId="77777777" w:rsidR="00770347" w:rsidRPr="008C0CFB" w:rsidRDefault="00770347" w:rsidP="00FB7C48">
      <w:pPr>
        <w:spacing w:after="0"/>
        <w:rPr>
          <w:rFonts w:ascii="Arial" w:hAnsi="Arial" w:cs="Arial"/>
          <w:bCs/>
        </w:rPr>
      </w:pPr>
    </w:p>
    <w:p w14:paraId="2E137989" w14:textId="25D69A4B" w:rsidR="00770347" w:rsidRPr="008C0CFB" w:rsidRDefault="00770347" w:rsidP="00FB7C48">
      <w:pPr>
        <w:spacing w:after="0"/>
        <w:rPr>
          <w:rFonts w:ascii="Arial" w:hAnsi="Arial" w:cs="Arial"/>
          <w:bCs/>
        </w:rPr>
      </w:pPr>
      <w:r w:rsidRPr="008C0CFB">
        <w:rPr>
          <w:rFonts w:ascii="Arial" w:hAnsi="Arial" w:cs="Arial"/>
          <w:bCs/>
        </w:rPr>
        <w:t xml:space="preserve">2022 lag der Anteil der Holzenergie am Gesamtenergieverbrauch bei 5,8 Prozent, zum Wärmeenergieverbrauch trug Holz gar 11,0 Prozent bei. </w:t>
      </w:r>
      <w:r w:rsidR="004159F2">
        <w:rPr>
          <w:rFonts w:ascii="Arial" w:hAnsi="Arial" w:cs="Arial"/>
          <w:bCs/>
        </w:rPr>
        <w:t>Seit 1990</w:t>
      </w:r>
      <w:r w:rsidR="00B536D8" w:rsidRPr="008C0CFB">
        <w:rPr>
          <w:rFonts w:ascii="Arial" w:hAnsi="Arial" w:cs="Arial"/>
          <w:bCs/>
        </w:rPr>
        <w:t xml:space="preserve"> fand eine starke Verschiebung von kleinen zu grö</w:t>
      </w:r>
      <w:r w:rsidR="004851EA" w:rsidRPr="008C0CFB">
        <w:rPr>
          <w:rFonts w:ascii="Arial" w:hAnsi="Arial" w:cs="Arial"/>
          <w:bCs/>
        </w:rPr>
        <w:t>s</w:t>
      </w:r>
      <w:r w:rsidR="00B536D8" w:rsidRPr="008C0CFB">
        <w:rPr>
          <w:rFonts w:ascii="Arial" w:hAnsi="Arial" w:cs="Arial"/>
          <w:bCs/>
        </w:rPr>
        <w:t xml:space="preserve">seren Anlagen sowie vom Stückholz zu Schnitzeln statt. </w:t>
      </w:r>
      <w:r w:rsidR="0055395E" w:rsidRPr="008C0CFB">
        <w:rPr>
          <w:rFonts w:ascii="Arial" w:hAnsi="Arial" w:cs="Arial"/>
          <w:bCs/>
        </w:rPr>
        <w:t>Die</w:t>
      </w:r>
      <w:r w:rsidR="00B536D8" w:rsidRPr="008C0CFB">
        <w:rPr>
          <w:rFonts w:ascii="Arial" w:hAnsi="Arial" w:cs="Arial"/>
          <w:bCs/>
        </w:rPr>
        <w:t xml:space="preserve"> Schweizerische Holzenergiestatistik spiegelt die Entwicklung zwischen 1990 und 2022 wie folgt.</w:t>
      </w:r>
    </w:p>
    <w:p w14:paraId="2621E492" w14:textId="77777777" w:rsidR="00770347" w:rsidRPr="008C0CFB" w:rsidRDefault="00770347" w:rsidP="00FB7C48">
      <w:pPr>
        <w:spacing w:after="0"/>
        <w:rPr>
          <w:rFonts w:ascii="Arial" w:hAnsi="Arial" w:cs="Arial"/>
          <w:bCs/>
        </w:rPr>
      </w:pPr>
    </w:p>
    <w:tbl>
      <w:tblPr>
        <w:tblStyle w:val="Tabellenraster"/>
        <w:tblW w:w="0" w:type="auto"/>
        <w:tblLook w:val="04A0" w:firstRow="1" w:lastRow="0" w:firstColumn="1" w:lastColumn="0" w:noHBand="0" w:noVBand="1"/>
      </w:tblPr>
      <w:tblGrid>
        <w:gridCol w:w="4138"/>
        <w:gridCol w:w="836"/>
        <w:gridCol w:w="1365"/>
        <w:gridCol w:w="1534"/>
        <w:gridCol w:w="1189"/>
      </w:tblGrid>
      <w:tr w:rsidR="00B536D8" w:rsidRPr="008C0CFB" w14:paraId="32190DA2" w14:textId="77777777" w:rsidTr="0055395E">
        <w:tc>
          <w:tcPr>
            <w:tcW w:w="4138" w:type="dxa"/>
            <w:vMerge w:val="restart"/>
          </w:tcPr>
          <w:p w14:paraId="3CCAB705" w14:textId="17FA6725" w:rsidR="00B536D8" w:rsidRPr="008C0CFB" w:rsidRDefault="00B536D8" w:rsidP="00FB7C48">
            <w:pPr>
              <w:spacing w:after="0"/>
              <w:rPr>
                <w:rFonts w:ascii="Arial" w:hAnsi="Arial" w:cs="Arial"/>
                <w:b/>
              </w:rPr>
            </w:pPr>
            <w:r w:rsidRPr="008C0CFB">
              <w:rPr>
                <w:rFonts w:ascii="Arial" w:hAnsi="Arial" w:cs="Arial"/>
                <w:b/>
              </w:rPr>
              <w:t>Anlagenkategorie</w:t>
            </w:r>
          </w:p>
        </w:tc>
        <w:tc>
          <w:tcPr>
            <w:tcW w:w="836" w:type="dxa"/>
            <w:vMerge w:val="restart"/>
          </w:tcPr>
          <w:p w14:paraId="47DC20CB" w14:textId="3438E3F0" w:rsidR="00B536D8" w:rsidRPr="008C0CFB" w:rsidRDefault="00B536D8" w:rsidP="00B536D8">
            <w:pPr>
              <w:spacing w:after="0"/>
              <w:jc w:val="center"/>
              <w:rPr>
                <w:rFonts w:ascii="Arial" w:hAnsi="Arial" w:cs="Arial"/>
                <w:b/>
              </w:rPr>
            </w:pPr>
            <w:r w:rsidRPr="008C0CFB">
              <w:rPr>
                <w:rFonts w:ascii="Arial" w:hAnsi="Arial" w:cs="Arial"/>
                <w:b/>
              </w:rPr>
              <w:t>Jahr</w:t>
            </w:r>
          </w:p>
        </w:tc>
        <w:tc>
          <w:tcPr>
            <w:tcW w:w="1365" w:type="dxa"/>
            <w:vMerge w:val="restart"/>
          </w:tcPr>
          <w:p w14:paraId="62E2EDC0" w14:textId="161D8D46" w:rsidR="00B536D8" w:rsidRPr="008C0CFB" w:rsidRDefault="00B536D8" w:rsidP="0055395E">
            <w:pPr>
              <w:spacing w:after="0"/>
              <w:jc w:val="center"/>
              <w:rPr>
                <w:rFonts w:ascii="Arial" w:hAnsi="Arial" w:cs="Arial"/>
                <w:b/>
              </w:rPr>
            </w:pPr>
            <w:r w:rsidRPr="008C0CFB">
              <w:rPr>
                <w:rFonts w:ascii="Arial" w:hAnsi="Arial" w:cs="Arial"/>
                <w:b/>
              </w:rPr>
              <w:t>Anzahl Anlagen</w:t>
            </w:r>
          </w:p>
        </w:tc>
        <w:tc>
          <w:tcPr>
            <w:tcW w:w="2723" w:type="dxa"/>
            <w:gridSpan w:val="2"/>
          </w:tcPr>
          <w:p w14:paraId="2A5FA3BB" w14:textId="013EBB4F" w:rsidR="00B536D8" w:rsidRPr="008C0CFB" w:rsidRDefault="00B536D8" w:rsidP="00FB7C48">
            <w:pPr>
              <w:spacing w:after="0"/>
              <w:rPr>
                <w:rFonts w:ascii="Arial" w:hAnsi="Arial" w:cs="Arial"/>
                <w:b/>
              </w:rPr>
            </w:pPr>
            <w:r w:rsidRPr="008C0CFB">
              <w:rPr>
                <w:rFonts w:ascii="Arial" w:hAnsi="Arial" w:cs="Arial"/>
                <w:b/>
              </w:rPr>
              <w:t>Verbrauch/Energieprod.</w:t>
            </w:r>
          </w:p>
        </w:tc>
      </w:tr>
      <w:tr w:rsidR="00B536D8" w:rsidRPr="008C0CFB" w14:paraId="2EBC4BBE" w14:textId="77777777" w:rsidTr="0055395E">
        <w:tc>
          <w:tcPr>
            <w:tcW w:w="4138" w:type="dxa"/>
            <w:vMerge/>
          </w:tcPr>
          <w:p w14:paraId="1E8E07D3" w14:textId="77777777" w:rsidR="00B536D8" w:rsidRPr="008C0CFB" w:rsidRDefault="00B536D8" w:rsidP="00FB7C48">
            <w:pPr>
              <w:spacing w:after="0"/>
              <w:rPr>
                <w:rFonts w:ascii="Arial" w:hAnsi="Arial" w:cs="Arial"/>
                <w:bCs/>
              </w:rPr>
            </w:pPr>
            <w:bookmarkStart w:id="0" w:name="_Hlk159336786"/>
          </w:p>
        </w:tc>
        <w:tc>
          <w:tcPr>
            <w:tcW w:w="836" w:type="dxa"/>
            <w:vMerge/>
          </w:tcPr>
          <w:p w14:paraId="49CEF7F4" w14:textId="452EDEEB" w:rsidR="00B536D8" w:rsidRPr="008C0CFB" w:rsidRDefault="00B536D8" w:rsidP="00B536D8">
            <w:pPr>
              <w:spacing w:after="0"/>
              <w:jc w:val="center"/>
              <w:rPr>
                <w:rFonts w:ascii="Arial" w:hAnsi="Arial" w:cs="Arial"/>
                <w:bCs/>
              </w:rPr>
            </w:pPr>
          </w:p>
        </w:tc>
        <w:tc>
          <w:tcPr>
            <w:tcW w:w="1365" w:type="dxa"/>
            <w:vMerge/>
          </w:tcPr>
          <w:p w14:paraId="240B1E5D" w14:textId="01FCE60C" w:rsidR="00B536D8" w:rsidRPr="008C0CFB" w:rsidRDefault="00B536D8" w:rsidP="00FB7C48">
            <w:pPr>
              <w:spacing w:after="0"/>
              <w:rPr>
                <w:rFonts w:ascii="Arial" w:hAnsi="Arial" w:cs="Arial"/>
                <w:bCs/>
              </w:rPr>
            </w:pPr>
          </w:p>
        </w:tc>
        <w:tc>
          <w:tcPr>
            <w:tcW w:w="1534" w:type="dxa"/>
          </w:tcPr>
          <w:p w14:paraId="59989DA4" w14:textId="7288EF07" w:rsidR="00B536D8" w:rsidRPr="008C0CFB" w:rsidRDefault="0055395E" w:rsidP="0055395E">
            <w:pPr>
              <w:spacing w:after="0"/>
              <w:jc w:val="center"/>
              <w:rPr>
                <w:rFonts w:ascii="Arial" w:hAnsi="Arial" w:cs="Arial"/>
                <w:bCs/>
              </w:rPr>
            </w:pPr>
            <w:r w:rsidRPr="008C0CFB">
              <w:rPr>
                <w:rFonts w:ascii="Arial" w:hAnsi="Arial" w:cs="Arial"/>
                <w:bCs/>
              </w:rPr>
              <w:t>[m</w:t>
            </w:r>
            <w:r w:rsidRPr="008C0CFB">
              <w:rPr>
                <w:rFonts w:ascii="Arial" w:hAnsi="Arial" w:cs="Arial"/>
                <w:bCs/>
                <w:vertAlign w:val="superscript"/>
              </w:rPr>
              <w:t>3</w:t>
            </w:r>
            <w:r w:rsidRPr="008C0CFB">
              <w:rPr>
                <w:rFonts w:ascii="Arial" w:hAnsi="Arial" w:cs="Arial"/>
                <w:bCs/>
              </w:rPr>
              <w:t>/a]</w:t>
            </w:r>
          </w:p>
        </w:tc>
        <w:tc>
          <w:tcPr>
            <w:tcW w:w="1189" w:type="dxa"/>
          </w:tcPr>
          <w:p w14:paraId="4EE47DD6" w14:textId="58F1B783" w:rsidR="00B536D8" w:rsidRPr="008C0CFB" w:rsidRDefault="0055395E" w:rsidP="0055395E">
            <w:pPr>
              <w:spacing w:after="0"/>
              <w:jc w:val="center"/>
              <w:rPr>
                <w:rFonts w:ascii="Arial" w:hAnsi="Arial" w:cs="Arial"/>
                <w:bCs/>
              </w:rPr>
            </w:pPr>
            <w:r w:rsidRPr="008C0CFB">
              <w:rPr>
                <w:rFonts w:ascii="Arial" w:hAnsi="Arial" w:cs="Arial"/>
                <w:bCs/>
              </w:rPr>
              <w:t>[GWh/a]</w:t>
            </w:r>
          </w:p>
        </w:tc>
      </w:tr>
      <w:bookmarkEnd w:id="0"/>
      <w:tr w:rsidR="0055395E" w:rsidRPr="008C0CFB" w14:paraId="32C8C892" w14:textId="77777777" w:rsidTr="0055395E">
        <w:tc>
          <w:tcPr>
            <w:tcW w:w="4138" w:type="dxa"/>
          </w:tcPr>
          <w:p w14:paraId="08B27911" w14:textId="1D0F8F01" w:rsidR="00B536D8" w:rsidRPr="008C0CFB" w:rsidRDefault="00B536D8" w:rsidP="00FB7C48">
            <w:pPr>
              <w:spacing w:after="0"/>
              <w:rPr>
                <w:rFonts w:ascii="Arial" w:hAnsi="Arial" w:cs="Arial"/>
                <w:bCs/>
              </w:rPr>
            </w:pPr>
            <w:r w:rsidRPr="008C0CFB">
              <w:rPr>
                <w:rFonts w:ascii="Arial" w:hAnsi="Arial" w:cs="Arial"/>
                <w:bCs/>
              </w:rPr>
              <w:t>Stückholzheizungen (Öfen, Kessel)</w:t>
            </w:r>
          </w:p>
        </w:tc>
        <w:tc>
          <w:tcPr>
            <w:tcW w:w="836" w:type="dxa"/>
          </w:tcPr>
          <w:p w14:paraId="49297367" w14:textId="452CE91F" w:rsidR="00B536D8" w:rsidRPr="008C0CFB" w:rsidRDefault="00B536D8" w:rsidP="00B536D8">
            <w:pPr>
              <w:spacing w:after="0"/>
              <w:jc w:val="center"/>
              <w:rPr>
                <w:rFonts w:ascii="Arial" w:hAnsi="Arial" w:cs="Arial"/>
                <w:bCs/>
              </w:rPr>
            </w:pPr>
            <w:r w:rsidRPr="008C0CFB">
              <w:rPr>
                <w:rFonts w:ascii="Arial" w:hAnsi="Arial" w:cs="Arial"/>
                <w:bCs/>
              </w:rPr>
              <w:t>199</w:t>
            </w:r>
            <w:r w:rsidR="00551334" w:rsidRPr="008C0CFB">
              <w:rPr>
                <w:rFonts w:ascii="Arial" w:hAnsi="Arial" w:cs="Arial"/>
                <w:bCs/>
              </w:rPr>
              <w:t>0</w:t>
            </w:r>
          </w:p>
          <w:p w14:paraId="41DB27C4" w14:textId="563D0ED5" w:rsidR="00B536D8" w:rsidRPr="008C0CFB" w:rsidRDefault="00B536D8" w:rsidP="00B536D8">
            <w:pPr>
              <w:spacing w:after="0"/>
              <w:jc w:val="center"/>
              <w:rPr>
                <w:rFonts w:ascii="Arial" w:hAnsi="Arial" w:cs="Arial"/>
                <w:bCs/>
              </w:rPr>
            </w:pPr>
            <w:r w:rsidRPr="008C0CFB">
              <w:rPr>
                <w:rFonts w:ascii="Arial" w:hAnsi="Arial" w:cs="Arial"/>
                <w:bCs/>
              </w:rPr>
              <w:t>2022</w:t>
            </w:r>
          </w:p>
        </w:tc>
        <w:tc>
          <w:tcPr>
            <w:tcW w:w="1365" w:type="dxa"/>
          </w:tcPr>
          <w:p w14:paraId="3E06C416" w14:textId="77777777" w:rsidR="00B536D8" w:rsidRPr="008C0CFB" w:rsidRDefault="0055395E" w:rsidP="00B536D8">
            <w:pPr>
              <w:spacing w:after="0"/>
              <w:jc w:val="right"/>
              <w:rPr>
                <w:rFonts w:ascii="Arial" w:hAnsi="Arial" w:cs="Arial"/>
                <w:bCs/>
              </w:rPr>
            </w:pPr>
            <w:r w:rsidRPr="008C0CFB">
              <w:rPr>
                <w:rFonts w:ascii="Arial" w:hAnsi="Arial" w:cs="Arial"/>
                <w:bCs/>
              </w:rPr>
              <w:t xml:space="preserve">689'184 </w:t>
            </w:r>
          </w:p>
          <w:p w14:paraId="0F915296" w14:textId="1701D6EC" w:rsidR="0055395E" w:rsidRPr="008C0CFB" w:rsidRDefault="0055395E" w:rsidP="00B536D8">
            <w:pPr>
              <w:spacing w:after="0"/>
              <w:jc w:val="right"/>
              <w:rPr>
                <w:rFonts w:ascii="Arial" w:hAnsi="Arial" w:cs="Arial"/>
                <w:bCs/>
              </w:rPr>
            </w:pPr>
            <w:r w:rsidRPr="008C0CFB">
              <w:rPr>
                <w:rFonts w:ascii="Arial" w:hAnsi="Arial" w:cs="Arial"/>
                <w:bCs/>
              </w:rPr>
              <w:t xml:space="preserve">466'971 </w:t>
            </w:r>
          </w:p>
        </w:tc>
        <w:tc>
          <w:tcPr>
            <w:tcW w:w="1534" w:type="dxa"/>
          </w:tcPr>
          <w:p w14:paraId="3E73D4B0" w14:textId="77777777" w:rsidR="00B536D8" w:rsidRPr="008C0CFB" w:rsidRDefault="0055395E" w:rsidP="00B536D8">
            <w:pPr>
              <w:spacing w:after="0"/>
              <w:jc w:val="right"/>
              <w:rPr>
                <w:rFonts w:ascii="Arial" w:hAnsi="Arial" w:cs="Arial"/>
                <w:bCs/>
              </w:rPr>
            </w:pPr>
            <w:r w:rsidRPr="008C0CFB">
              <w:rPr>
                <w:rFonts w:ascii="Arial" w:hAnsi="Arial" w:cs="Arial"/>
                <w:bCs/>
              </w:rPr>
              <w:t xml:space="preserve">2'416'000 </w:t>
            </w:r>
          </w:p>
          <w:p w14:paraId="551A09CD" w14:textId="24F128B7" w:rsidR="0055395E" w:rsidRPr="008C0CFB" w:rsidRDefault="0055395E" w:rsidP="00B536D8">
            <w:pPr>
              <w:spacing w:after="0"/>
              <w:jc w:val="right"/>
              <w:rPr>
                <w:rFonts w:ascii="Arial" w:hAnsi="Arial" w:cs="Arial"/>
                <w:bCs/>
              </w:rPr>
            </w:pPr>
            <w:r w:rsidRPr="008C0CFB">
              <w:rPr>
                <w:rFonts w:ascii="Arial" w:hAnsi="Arial" w:cs="Arial"/>
                <w:bCs/>
              </w:rPr>
              <w:t xml:space="preserve">789'642 </w:t>
            </w:r>
          </w:p>
        </w:tc>
        <w:tc>
          <w:tcPr>
            <w:tcW w:w="1189" w:type="dxa"/>
          </w:tcPr>
          <w:p w14:paraId="0F168D5D" w14:textId="77777777" w:rsidR="00B536D8" w:rsidRPr="008C0CFB" w:rsidRDefault="0055395E" w:rsidP="00B536D8">
            <w:pPr>
              <w:spacing w:after="0"/>
              <w:jc w:val="right"/>
              <w:rPr>
                <w:rFonts w:ascii="Arial" w:hAnsi="Arial" w:cs="Arial"/>
                <w:bCs/>
              </w:rPr>
            </w:pPr>
            <w:r w:rsidRPr="008C0CFB">
              <w:rPr>
                <w:rFonts w:ascii="Arial" w:hAnsi="Arial" w:cs="Arial"/>
                <w:bCs/>
              </w:rPr>
              <w:t xml:space="preserve">6'596 </w:t>
            </w:r>
          </w:p>
          <w:p w14:paraId="62F6D7FC" w14:textId="57D0F1D9" w:rsidR="0055395E" w:rsidRPr="008C0CFB" w:rsidRDefault="0055395E" w:rsidP="00B536D8">
            <w:pPr>
              <w:spacing w:after="0"/>
              <w:jc w:val="right"/>
              <w:rPr>
                <w:rFonts w:ascii="Arial" w:hAnsi="Arial" w:cs="Arial"/>
                <w:bCs/>
              </w:rPr>
            </w:pPr>
            <w:r w:rsidRPr="008C0CFB">
              <w:rPr>
                <w:rFonts w:ascii="Arial" w:hAnsi="Arial" w:cs="Arial"/>
                <w:bCs/>
              </w:rPr>
              <w:t xml:space="preserve">2'156 </w:t>
            </w:r>
          </w:p>
        </w:tc>
      </w:tr>
      <w:tr w:rsidR="0055395E" w:rsidRPr="008C0CFB" w14:paraId="402E9B6D" w14:textId="77777777" w:rsidTr="0055395E">
        <w:tc>
          <w:tcPr>
            <w:tcW w:w="4138" w:type="dxa"/>
          </w:tcPr>
          <w:p w14:paraId="5BC363B3" w14:textId="1F7245ED" w:rsidR="00B536D8" w:rsidRPr="008C0CFB" w:rsidRDefault="00B536D8" w:rsidP="00FB7C48">
            <w:pPr>
              <w:spacing w:after="0"/>
              <w:rPr>
                <w:rFonts w:ascii="Arial" w:hAnsi="Arial" w:cs="Arial"/>
                <w:bCs/>
              </w:rPr>
            </w:pPr>
            <w:r w:rsidRPr="008C0CFB">
              <w:rPr>
                <w:rFonts w:ascii="Arial" w:hAnsi="Arial" w:cs="Arial"/>
                <w:bCs/>
              </w:rPr>
              <w:t>Schnitzelheizungen</w:t>
            </w:r>
          </w:p>
        </w:tc>
        <w:tc>
          <w:tcPr>
            <w:tcW w:w="836" w:type="dxa"/>
          </w:tcPr>
          <w:p w14:paraId="7F6EE81A" w14:textId="5B034ECB" w:rsidR="00B536D8" w:rsidRPr="008C0CFB" w:rsidRDefault="00B536D8" w:rsidP="00B536D8">
            <w:pPr>
              <w:spacing w:after="0"/>
              <w:jc w:val="center"/>
              <w:rPr>
                <w:rFonts w:ascii="Arial" w:hAnsi="Arial" w:cs="Arial"/>
                <w:bCs/>
              </w:rPr>
            </w:pPr>
            <w:r w:rsidRPr="008C0CFB">
              <w:rPr>
                <w:rFonts w:ascii="Arial" w:hAnsi="Arial" w:cs="Arial"/>
                <w:bCs/>
              </w:rPr>
              <w:t>199</w:t>
            </w:r>
            <w:r w:rsidR="00551334" w:rsidRPr="008C0CFB">
              <w:rPr>
                <w:rFonts w:ascii="Arial" w:hAnsi="Arial" w:cs="Arial"/>
                <w:bCs/>
              </w:rPr>
              <w:t>0</w:t>
            </w:r>
          </w:p>
          <w:p w14:paraId="71D4C1FC" w14:textId="5CCB2EC5" w:rsidR="00B536D8" w:rsidRPr="008C0CFB" w:rsidRDefault="00B536D8" w:rsidP="00B536D8">
            <w:pPr>
              <w:spacing w:after="0"/>
              <w:jc w:val="center"/>
              <w:rPr>
                <w:rFonts w:ascii="Arial" w:hAnsi="Arial" w:cs="Arial"/>
                <w:bCs/>
              </w:rPr>
            </w:pPr>
            <w:r w:rsidRPr="008C0CFB">
              <w:rPr>
                <w:rFonts w:ascii="Arial" w:hAnsi="Arial" w:cs="Arial"/>
                <w:bCs/>
              </w:rPr>
              <w:t>2022</w:t>
            </w:r>
          </w:p>
        </w:tc>
        <w:tc>
          <w:tcPr>
            <w:tcW w:w="1365" w:type="dxa"/>
          </w:tcPr>
          <w:p w14:paraId="21215376" w14:textId="77777777" w:rsidR="00B536D8" w:rsidRPr="008C0CFB" w:rsidRDefault="0055395E" w:rsidP="00B536D8">
            <w:pPr>
              <w:spacing w:after="0"/>
              <w:jc w:val="right"/>
              <w:rPr>
                <w:rFonts w:ascii="Arial" w:hAnsi="Arial" w:cs="Arial"/>
                <w:bCs/>
              </w:rPr>
            </w:pPr>
            <w:r w:rsidRPr="008C0CFB">
              <w:rPr>
                <w:rFonts w:ascii="Arial" w:hAnsi="Arial" w:cs="Arial"/>
                <w:bCs/>
              </w:rPr>
              <w:t xml:space="preserve">3'286 </w:t>
            </w:r>
          </w:p>
          <w:p w14:paraId="0A22D956" w14:textId="19FE630B" w:rsidR="0055395E" w:rsidRPr="008C0CFB" w:rsidRDefault="0055395E" w:rsidP="00B536D8">
            <w:pPr>
              <w:spacing w:after="0"/>
              <w:jc w:val="right"/>
              <w:rPr>
                <w:rFonts w:ascii="Arial" w:hAnsi="Arial" w:cs="Arial"/>
                <w:bCs/>
              </w:rPr>
            </w:pPr>
            <w:r w:rsidRPr="008C0CFB">
              <w:rPr>
                <w:rFonts w:ascii="Arial" w:hAnsi="Arial" w:cs="Arial"/>
                <w:bCs/>
              </w:rPr>
              <w:t xml:space="preserve">11'778 </w:t>
            </w:r>
          </w:p>
        </w:tc>
        <w:tc>
          <w:tcPr>
            <w:tcW w:w="1534" w:type="dxa"/>
          </w:tcPr>
          <w:p w14:paraId="1DA174F2" w14:textId="77777777" w:rsidR="00B536D8" w:rsidRPr="008C0CFB" w:rsidRDefault="0055395E" w:rsidP="00B536D8">
            <w:pPr>
              <w:spacing w:after="0"/>
              <w:jc w:val="right"/>
              <w:rPr>
                <w:rFonts w:ascii="Arial" w:hAnsi="Arial" w:cs="Arial"/>
                <w:bCs/>
              </w:rPr>
            </w:pPr>
            <w:r w:rsidRPr="008C0CFB">
              <w:rPr>
                <w:rFonts w:ascii="Arial" w:hAnsi="Arial" w:cs="Arial"/>
                <w:bCs/>
              </w:rPr>
              <w:t xml:space="preserve">424'300 </w:t>
            </w:r>
          </w:p>
          <w:p w14:paraId="75F86439" w14:textId="60F60F67" w:rsidR="0055395E" w:rsidRPr="008C0CFB" w:rsidRDefault="0055395E" w:rsidP="00B536D8">
            <w:pPr>
              <w:spacing w:after="0"/>
              <w:jc w:val="right"/>
              <w:rPr>
                <w:rFonts w:ascii="Arial" w:hAnsi="Arial" w:cs="Arial"/>
                <w:bCs/>
              </w:rPr>
            </w:pPr>
            <w:r w:rsidRPr="008C0CFB">
              <w:rPr>
                <w:rFonts w:ascii="Arial" w:hAnsi="Arial" w:cs="Arial"/>
                <w:bCs/>
              </w:rPr>
              <w:t xml:space="preserve">1'987'021 </w:t>
            </w:r>
          </w:p>
        </w:tc>
        <w:tc>
          <w:tcPr>
            <w:tcW w:w="1189" w:type="dxa"/>
          </w:tcPr>
          <w:p w14:paraId="0C282320" w14:textId="77777777" w:rsidR="00B536D8" w:rsidRPr="008C0CFB" w:rsidRDefault="0055395E" w:rsidP="00B536D8">
            <w:pPr>
              <w:spacing w:after="0"/>
              <w:jc w:val="right"/>
              <w:rPr>
                <w:rFonts w:ascii="Arial" w:hAnsi="Arial" w:cs="Arial"/>
                <w:bCs/>
              </w:rPr>
            </w:pPr>
            <w:r w:rsidRPr="008C0CFB">
              <w:rPr>
                <w:rFonts w:ascii="Arial" w:hAnsi="Arial" w:cs="Arial"/>
                <w:bCs/>
              </w:rPr>
              <w:t>0</w:t>
            </w:r>
          </w:p>
          <w:p w14:paraId="5529D072" w14:textId="173FE5B3" w:rsidR="0055395E" w:rsidRPr="008C0CFB" w:rsidRDefault="0055395E" w:rsidP="00B536D8">
            <w:pPr>
              <w:spacing w:after="0"/>
              <w:jc w:val="right"/>
              <w:rPr>
                <w:rFonts w:ascii="Arial" w:hAnsi="Arial" w:cs="Arial"/>
                <w:bCs/>
              </w:rPr>
            </w:pPr>
            <w:r w:rsidRPr="008C0CFB">
              <w:rPr>
                <w:rFonts w:ascii="Arial" w:hAnsi="Arial" w:cs="Arial"/>
                <w:bCs/>
              </w:rPr>
              <w:t xml:space="preserve">1'957 </w:t>
            </w:r>
          </w:p>
        </w:tc>
      </w:tr>
      <w:tr w:rsidR="0055395E" w:rsidRPr="008C0CFB" w14:paraId="67017FAB" w14:textId="77777777" w:rsidTr="0055395E">
        <w:tc>
          <w:tcPr>
            <w:tcW w:w="4138" w:type="dxa"/>
          </w:tcPr>
          <w:p w14:paraId="570D81A8" w14:textId="27FF2938" w:rsidR="00B536D8" w:rsidRPr="008C0CFB" w:rsidRDefault="00B536D8" w:rsidP="00FB7C48">
            <w:pPr>
              <w:spacing w:after="0"/>
              <w:rPr>
                <w:rFonts w:ascii="Arial" w:hAnsi="Arial" w:cs="Arial"/>
                <w:bCs/>
              </w:rPr>
            </w:pPr>
            <w:r w:rsidRPr="008C0CFB">
              <w:rPr>
                <w:rFonts w:ascii="Arial" w:hAnsi="Arial" w:cs="Arial"/>
                <w:bCs/>
              </w:rPr>
              <w:t>Pelletheizungen</w:t>
            </w:r>
          </w:p>
        </w:tc>
        <w:tc>
          <w:tcPr>
            <w:tcW w:w="836" w:type="dxa"/>
          </w:tcPr>
          <w:p w14:paraId="79CE292F" w14:textId="00F0DC85" w:rsidR="00B536D8" w:rsidRPr="008C0CFB" w:rsidRDefault="00B536D8" w:rsidP="00B536D8">
            <w:pPr>
              <w:spacing w:after="0"/>
              <w:jc w:val="center"/>
              <w:rPr>
                <w:rFonts w:ascii="Arial" w:hAnsi="Arial" w:cs="Arial"/>
                <w:bCs/>
              </w:rPr>
            </w:pPr>
            <w:r w:rsidRPr="008C0CFB">
              <w:rPr>
                <w:rFonts w:ascii="Arial" w:hAnsi="Arial" w:cs="Arial"/>
                <w:bCs/>
              </w:rPr>
              <w:t>199</w:t>
            </w:r>
            <w:r w:rsidR="00551334" w:rsidRPr="008C0CFB">
              <w:rPr>
                <w:rFonts w:ascii="Arial" w:hAnsi="Arial" w:cs="Arial"/>
                <w:bCs/>
              </w:rPr>
              <w:t>0</w:t>
            </w:r>
          </w:p>
          <w:p w14:paraId="3C33FACD" w14:textId="750EE64F" w:rsidR="00B536D8" w:rsidRPr="008C0CFB" w:rsidRDefault="00B536D8" w:rsidP="00B536D8">
            <w:pPr>
              <w:spacing w:after="0"/>
              <w:jc w:val="center"/>
              <w:rPr>
                <w:rFonts w:ascii="Arial" w:hAnsi="Arial" w:cs="Arial"/>
                <w:bCs/>
              </w:rPr>
            </w:pPr>
            <w:r w:rsidRPr="008C0CFB">
              <w:rPr>
                <w:rFonts w:ascii="Arial" w:hAnsi="Arial" w:cs="Arial"/>
                <w:bCs/>
              </w:rPr>
              <w:t>2022</w:t>
            </w:r>
          </w:p>
        </w:tc>
        <w:tc>
          <w:tcPr>
            <w:tcW w:w="1365" w:type="dxa"/>
          </w:tcPr>
          <w:p w14:paraId="090B9332" w14:textId="77777777" w:rsidR="00B536D8" w:rsidRPr="008C0CFB" w:rsidRDefault="0055395E" w:rsidP="00B536D8">
            <w:pPr>
              <w:spacing w:after="0"/>
              <w:jc w:val="right"/>
              <w:rPr>
                <w:rFonts w:ascii="Arial" w:hAnsi="Arial" w:cs="Arial"/>
                <w:bCs/>
              </w:rPr>
            </w:pPr>
            <w:r w:rsidRPr="008C0CFB">
              <w:rPr>
                <w:rFonts w:ascii="Arial" w:hAnsi="Arial" w:cs="Arial"/>
                <w:bCs/>
              </w:rPr>
              <w:t>0</w:t>
            </w:r>
          </w:p>
          <w:p w14:paraId="31294C1C" w14:textId="08BE1E32" w:rsidR="0055395E" w:rsidRPr="008C0CFB" w:rsidRDefault="0055395E" w:rsidP="00B536D8">
            <w:pPr>
              <w:spacing w:after="0"/>
              <w:jc w:val="right"/>
              <w:rPr>
                <w:rFonts w:ascii="Arial" w:hAnsi="Arial" w:cs="Arial"/>
                <w:bCs/>
              </w:rPr>
            </w:pPr>
            <w:r w:rsidRPr="008C0CFB">
              <w:rPr>
                <w:rFonts w:ascii="Arial" w:hAnsi="Arial" w:cs="Arial"/>
                <w:bCs/>
              </w:rPr>
              <w:t xml:space="preserve">31'724 </w:t>
            </w:r>
          </w:p>
        </w:tc>
        <w:tc>
          <w:tcPr>
            <w:tcW w:w="1534" w:type="dxa"/>
          </w:tcPr>
          <w:p w14:paraId="765A88AB" w14:textId="77777777" w:rsidR="00B536D8" w:rsidRPr="008C0CFB" w:rsidRDefault="0055395E" w:rsidP="00B536D8">
            <w:pPr>
              <w:spacing w:after="0"/>
              <w:jc w:val="right"/>
              <w:rPr>
                <w:rFonts w:ascii="Arial" w:hAnsi="Arial" w:cs="Arial"/>
                <w:bCs/>
              </w:rPr>
            </w:pPr>
            <w:r w:rsidRPr="008C0CFB">
              <w:rPr>
                <w:rFonts w:ascii="Arial" w:hAnsi="Arial" w:cs="Arial"/>
                <w:bCs/>
              </w:rPr>
              <w:t>0</w:t>
            </w:r>
          </w:p>
          <w:p w14:paraId="1859AC82" w14:textId="00559C52" w:rsidR="0055395E" w:rsidRPr="008C0CFB" w:rsidRDefault="0055395E" w:rsidP="00B536D8">
            <w:pPr>
              <w:spacing w:after="0"/>
              <w:jc w:val="right"/>
              <w:rPr>
                <w:rFonts w:ascii="Arial" w:hAnsi="Arial" w:cs="Arial"/>
                <w:bCs/>
              </w:rPr>
            </w:pPr>
            <w:r w:rsidRPr="008C0CFB">
              <w:rPr>
                <w:rFonts w:ascii="Arial" w:hAnsi="Arial" w:cs="Arial"/>
                <w:bCs/>
              </w:rPr>
              <w:t xml:space="preserve">716'726 </w:t>
            </w:r>
          </w:p>
        </w:tc>
        <w:tc>
          <w:tcPr>
            <w:tcW w:w="1189" w:type="dxa"/>
          </w:tcPr>
          <w:p w14:paraId="31A73EAF" w14:textId="77777777" w:rsidR="00B536D8" w:rsidRPr="008C0CFB" w:rsidRDefault="0055395E" w:rsidP="00B536D8">
            <w:pPr>
              <w:spacing w:after="0"/>
              <w:jc w:val="right"/>
              <w:rPr>
                <w:rFonts w:ascii="Arial" w:hAnsi="Arial" w:cs="Arial"/>
                <w:bCs/>
              </w:rPr>
            </w:pPr>
            <w:r w:rsidRPr="008C0CFB">
              <w:rPr>
                <w:rFonts w:ascii="Arial" w:hAnsi="Arial" w:cs="Arial"/>
                <w:bCs/>
              </w:rPr>
              <w:t>0</w:t>
            </w:r>
          </w:p>
          <w:p w14:paraId="433BC501" w14:textId="1549BEEF" w:rsidR="0055395E" w:rsidRPr="008C0CFB" w:rsidRDefault="0055395E" w:rsidP="00B536D8">
            <w:pPr>
              <w:spacing w:after="0"/>
              <w:jc w:val="right"/>
              <w:rPr>
                <w:rFonts w:ascii="Arial" w:hAnsi="Arial" w:cs="Arial"/>
                <w:bCs/>
              </w:rPr>
            </w:pPr>
            <w:r w:rsidRPr="008C0CFB">
              <w:rPr>
                <w:rFonts w:ascii="Arial" w:hAnsi="Arial" w:cs="Arial"/>
                <w:bCs/>
              </w:rPr>
              <w:t xml:space="preserve">2'294 </w:t>
            </w:r>
          </w:p>
        </w:tc>
      </w:tr>
      <w:tr w:rsidR="0055395E" w:rsidRPr="008C0CFB" w14:paraId="3C8DA61D" w14:textId="77777777" w:rsidTr="0055395E">
        <w:tc>
          <w:tcPr>
            <w:tcW w:w="4138" w:type="dxa"/>
          </w:tcPr>
          <w:p w14:paraId="3F8BA7D3" w14:textId="175BEB0E" w:rsidR="00B536D8" w:rsidRPr="008C0CFB" w:rsidRDefault="00B536D8" w:rsidP="00FB7C48">
            <w:pPr>
              <w:spacing w:after="0"/>
              <w:rPr>
                <w:rFonts w:ascii="Arial" w:hAnsi="Arial" w:cs="Arial"/>
                <w:bCs/>
              </w:rPr>
            </w:pPr>
            <w:r w:rsidRPr="008C0CFB">
              <w:rPr>
                <w:rFonts w:ascii="Arial" w:hAnsi="Arial" w:cs="Arial"/>
                <w:bCs/>
              </w:rPr>
              <w:t>Holz-Wärme-Kraft-Kopplung</w:t>
            </w:r>
          </w:p>
        </w:tc>
        <w:tc>
          <w:tcPr>
            <w:tcW w:w="836" w:type="dxa"/>
          </w:tcPr>
          <w:p w14:paraId="57A656D0" w14:textId="7EBFB595" w:rsidR="00B536D8" w:rsidRPr="008C0CFB" w:rsidRDefault="00B536D8" w:rsidP="00B536D8">
            <w:pPr>
              <w:spacing w:after="0"/>
              <w:jc w:val="center"/>
              <w:rPr>
                <w:rFonts w:ascii="Arial" w:hAnsi="Arial" w:cs="Arial"/>
                <w:bCs/>
              </w:rPr>
            </w:pPr>
            <w:r w:rsidRPr="008C0CFB">
              <w:rPr>
                <w:rFonts w:ascii="Arial" w:hAnsi="Arial" w:cs="Arial"/>
                <w:bCs/>
              </w:rPr>
              <w:t>199</w:t>
            </w:r>
            <w:r w:rsidR="00551334" w:rsidRPr="008C0CFB">
              <w:rPr>
                <w:rFonts w:ascii="Arial" w:hAnsi="Arial" w:cs="Arial"/>
                <w:bCs/>
              </w:rPr>
              <w:t>0</w:t>
            </w:r>
          </w:p>
          <w:p w14:paraId="6BB22849" w14:textId="235D5BFB" w:rsidR="00B536D8" w:rsidRPr="008C0CFB" w:rsidRDefault="00B536D8" w:rsidP="00B536D8">
            <w:pPr>
              <w:spacing w:after="0"/>
              <w:jc w:val="center"/>
              <w:rPr>
                <w:rFonts w:ascii="Arial" w:hAnsi="Arial" w:cs="Arial"/>
                <w:bCs/>
              </w:rPr>
            </w:pPr>
            <w:r w:rsidRPr="008C0CFB">
              <w:rPr>
                <w:rFonts w:ascii="Arial" w:hAnsi="Arial" w:cs="Arial"/>
                <w:bCs/>
              </w:rPr>
              <w:t>2022</w:t>
            </w:r>
          </w:p>
        </w:tc>
        <w:tc>
          <w:tcPr>
            <w:tcW w:w="1365" w:type="dxa"/>
          </w:tcPr>
          <w:p w14:paraId="0214C6B3" w14:textId="77777777" w:rsidR="00B536D8" w:rsidRPr="008C0CFB" w:rsidRDefault="0055395E" w:rsidP="00B536D8">
            <w:pPr>
              <w:spacing w:after="0"/>
              <w:jc w:val="right"/>
              <w:rPr>
                <w:rFonts w:ascii="Arial" w:hAnsi="Arial" w:cs="Arial"/>
                <w:bCs/>
              </w:rPr>
            </w:pPr>
            <w:r w:rsidRPr="008C0CFB">
              <w:rPr>
                <w:rFonts w:ascii="Arial" w:hAnsi="Arial" w:cs="Arial"/>
                <w:bCs/>
              </w:rPr>
              <w:t>0</w:t>
            </w:r>
          </w:p>
          <w:p w14:paraId="2CC0622C" w14:textId="1C9F19AE" w:rsidR="0055395E" w:rsidRPr="008C0CFB" w:rsidRDefault="0055395E" w:rsidP="00B536D8">
            <w:pPr>
              <w:spacing w:after="0"/>
              <w:jc w:val="right"/>
              <w:rPr>
                <w:rFonts w:ascii="Arial" w:hAnsi="Arial" w:cs="Arial"/>
                <w:bCs/>
              </w:rPr>
            </w:pPr>
            <w:r w:rsidRPr="008C0CFB">
              <w:rPr>
                <w:rFonts w:ascii="Arial" w:hAnsi="Arial" w:cs="Arial"/>
                <w:bCs/>
              </w:rPr>
              <w:t xml:space="preserve">33 </w:t>
            </w:r>
          </w:p>
        </w:tc>
        <w:tc>
          <w:tcPr>
            <w:tcW w:w="1534" w:type="dxa"/>
          </w:tcPr>
          <w:p w14:paraId="0234CCF6" w14:textId="77777777" w:rsidR="00B536D8" w:rsidRPr="008C0CFB" w:rsidRDefault="0055395E" w:rsidP="00B536D8">
            <w:pPr>
              <w:spacing w:after="0"/>
              <w:jc w:val="right"/>
              <w:rPr>
                <w:rFonts w:ascii="Arial" w:hAnsi="Arial" w:cs="Arial"/>
                <w:bCs/>
              </w:rPr>
            </w:pPr>
            <w:r w:rsidRPr="008C0CFB">
              <w:rPr>
                <w:rFonts w:ascii="Arial" w:hAnsi="Arial" w:cs="Arial"/>
                <w:bCs/>
              </w:rPr>
              <w:t>0</w:t>
            </w:r>
          </w:p>
          <w:p w14:paraId="6B82E9F4" w14:textId="497BABC2" w:rsidR="0055395E" w:rsidRPr="008C0CFB" w:rsidRDefault="0055395E" w:rsidP="00B536D8">
            <w:pPr>
              <w:spacing w:after="0"/>
              <w:jc w:val="right"/>
              <w:rPr>
                <w:rFonts w:ascii="Arial" w:hAnsi="Arial" w:cs="Arial"/>
                <w:bCs/>
              </w:rPr>
            </w:pPr>
            <w:r w:rsidRPr="008C0CFB">
              <w:rPr>
                <w:rFonts w:ascii="Arial" w:hAnsi="Arial" w:cs="Arial"/>
                <w:bCs/>
              </w:rPr>
              <w:t xml:space="preserve">840'300 </w:t>
            </w:r>
          </w:p>
        </w:tc>
        <w:tc>
          <w:tcPr>
            <w:tcW w:w="1189" w:type="dxa"/>
          </w:tcPr>
          <w:p w14:paraId="6A2B94E1" w14:textId="77777777" w:rsidR="00B536D8" w:rsidRPr="008C0CFB" w:rsidRDefault="0055395E" w:rsidP="00B536D8">
            <w:pPr>
              <w:spacing w:after="0"/>
              <w:jc w:val="right"/>
              <w:rPr>
                <w:rFonts w:ascii="Arial" w:hAnsi="Arial" w:cs="Arial"/>
                <w:bCs/>
              </w:rPr>
            </w:pPr>
            <w:r w:rsidRPr="008C0CFB">
              <w:rPr>
                <w:rFonts w:ascii="Arial" w:hAnsi="Arial" w:cs="Arial"/>
                <w:bCs/>
              </w:rPr>
              <w:t xml:space="preserve">478 </w:t>
            </w:r>
          </w:p>
          <w:p w14:paraId="185629C8" w14:textId="6BE4D5B4" w:rsidR="0055395E" w:rsidRPr="008C0CFB" w:rsidRDefault="0055395E" w:rsidP="00B536D8">
            <w:pPr>
              <w:spacing w:after="0"/>
              <w:jc w:val="right"/>
              <w:rPr>
                <w:rFonts w:ascii="Arial" w:hAnsi="Arial" w:cs="Arial"/>
                <w:bCs/>
              </w:rPr>
            </w:pPr>
            <w:r w:rsidRPr="008C0CFB">
              <w:rPr>
                <w:rFonts w:ascii="Arial" w:hAnsi="Arial" w:cs="Arial"/>
                <w:bCs/>
              </w:rPr>
              <w:t xml:space="preserve">2'577 </w:t>
            </w:r>
          </w:p>
        </w:tc>
      </w:tr>
      <w:tr w:rsidR="0055395E" w:rsidRPr="008C0CFB" w14:paraId="38F0DFAF" w14:textId="77777777" w:rsidTr="0055395E">
        <w:tc>
          <w:tcPr>
            <w:tcW w:w="4138" w:type="dxa"/>
          </w:tcPr>
          <w:p w14:paraId="212A72D0" w14:textId="63A7F3A1" w:rsidR="00B536D8" w:rsidRPr="008C0CFB" w:rsidRDefault="00B536D8" w:rsidP="00FB7C48">
            <w:pPr>
              <w:spacing w:after="0"/>
              <w:rPr>
                <w:rFonts w:ascii="Arial" w:hAnsi="Arial" w:cs="Arial"/>
                <w:bCs/>
              </w:rPr>
            </w:pPr>
            <w:r w:rsidRPr="008C0CFB">
              <w:rPr>
                <w:rFonts w:ascii="Arial" w:hAnsi="Arial" w:cs="Arial"/>
                <w:bCs/>
              </w:rPr>
              <w:t>Altholzheizungen</w:t>
            </w:r>
          </w:p>
        </w:tc>
        <w:tc>
          <w:tcPr>
            <w:tcW w:w="836" w:type="dxa"/>
          </w:tcPr>
          <w:p w14:paraId="4F9E6DAC" w14:textId="4E9153E2" w:rsidR="00B536D8" w:rsidRPr="008C0CFB" w:rsidRDefault="00B536D8" w:rsidP="00B536D8">
            <w:pPr>
              <w:spacing w:after="0"/>
              <w:jc w:val="center"/>
              <w:rPr>
                <w:rFonts w:ascii="Arial" w:hAnsi="Arial" w:cs="Arial"/>
                <w:bCs/>
              </w:rPr>
            </w:pPr>
            <w:r w:rsidRPr="008C0CFB">
              <w:rPr>
                <w:rFonts w:ascii="Arial" w:hAnsi="Arial" w:cs="Arial"/>
                <w:bCs/>
              </w:rPr>
              <w:t>199</w:t>
            </w:r>
            <w:r w:rsidR="00551334" w:rsidRPr="008C0CFB">
              <w:rPr>
                <w:rFonts w:ascii="Arial" w:hAnsi="Arial" w:cs="Arial"/>
                <w:bCs/>
              </w:rPr>
              <w:t>0</w:t>
            </w:r>
          </w:p>
          <w:p w14:paraId="74836BF4" w14:textId="0BE22FE3" w:rsidR="00B536D8" w:rsidRPr="008C0CFB" w:rsidRDefault="00B536D8" w:rsidP="00B536D8">
            <w:pPr>
              <w:spacing w:after="0"/>
              <w:jc w:val="center"/>
              <w:rPr>
                <w:rFonts w:ascii="Arial" w:hAnsi="Arial" w:cs="Arial"/>
                <w:bCs/>
              </w:rPr>
            </w:pPr>
            <w:r w:rsidRPr="008C0CFB">
              <w:rPr>
                <w:rFonts w:ascii="Arial" w:hAnsi="Arial" w:cs="Arial"/>
                <w:bCs/>
              </w:rPr>
              <w:t>2022</w:t>
            </w:r>
          </w:p>
        </w:tc>
        <w:tc>
          <w:tcPr>
            <w:tcW w:w="1365" w:type="dxa"/>
          </w:tcPr>
          <w:p w14:paraId="18C0ECEA" w14:textId="77777777" w:rsidR="00B536D8" w:rsidRPr="008C0CFB" w:rsidRDefault="0055395E" w:rsidP="00B536D8">
            <w:pPr>
              <w:spacing w:after="0"/>
              <w:jc w:val="right"/>
              <w:rPr>
                <w:rFonts w:ascii="Arial" w:hAnsi="Arial" w:cs="Arial"/>
                <w:bCs/>
              </w:rPr>
            </w:pPr>
            <w:r w:rsidRPr="008C0CFB">
              <w:rPr>
                <w:rFonts w:ascii="Arial" w:hAnsi="Arial" w:cs="Arial"/>
                <w:bCs/>
              </w:rPr>
              <w:t>22</w:t>
            </w:r>
          </w:p>
          <w:p w14:paraId="70D15A09" w14:textId="08AAD428" w:rsidR="0055395E" w:rsidRPr="008C0CFB" w:rsidRDefault="0055395E" w:rsidP="00B536D8">
            <w:pPr>
              <w:spacing w:after="0"/>
              <w:jc w:val="right"/>
              <w:rPr>
                <w:rFonts w:ascii="Arial" w:hAnsi="Arial" w:cs="Arial"/>
                <w:bCs/>
              </w:rPr>
            </w:pPr>
            <w:r w:rsidRPr="008C0CFB">
              <w:rPr>
                <w:rFonts w:ascii="Arial" w:hAnsi="Arial" w:cs="Arial"/>
                <w:bCs/>
              </w:rPr>
              <w:t>76</w:t>
            </w:r>
          </w:p>
        </w:tc>
        <w:tc>
          <w:tcPr>
            <w:tcW w:w="1534" w:type="dxa"/>
          </w:tcPr>
          <w:p w14:paraId="5C637B13" w14:textId="77777777" w:rsidR="00B536D8" w:rsidRPr="008C0CFB" w:rsidRDefault="0055395E" w:rsidP="00B536D8">
            <w:pPr>
              <w:spacing w:after="0"/>
              <w:jc w:val="right"/>
              <w:rPr>
                <w:rFonts w:ascii="Arial" w:hAnsi="Arial" w:cs="Arial"/>
                <w:bCs/>
              </w:rPr>
            </w:pPr>
            <w:r w:rsidRPr="008C0CFB">
              <w:rPr>
                <w:rFonts w:ascii="Arial" w:hAnsi="Arial" w:cs="Arial"/>
                <w:bCs/>
              </w:rPr>
              <w:t xml:space="preserve">175'000 </w:t>
            </w:r>
          </w:p>
          <w:p w14:paraId="2A7808C7" w14:textId="09F38319" w:rsidR="0055395E" w:rsidRPr="008C0CFB" w:rsidRDefault="0055395E" w:rsidP="00B536D8">
            <w:pPr>
              <w:spacing w:after="0"/>
              <w:jc w:val="right"/>
              <w:rPr>
                <w:rFonts w:ascii="Arial" w:hAnsi="Arial" w:cs="Arial"/>
                <w:bCs/>
              </w:rPr>
            </w:pPr>
            <w:r w:rsidRPr="008C0CFB">
              <w:rPr>
                <w:rFonts w:ascii="Arial" w:hAnsi="Arial" w:cs="Arial"/>
                <w:bCs/>
              </w:rPr>
              <w:t xml:space="preserve">944'020 </w:t>
            </w:r>
          </w:p>
        </w:tc>
        <w:tc>
          <w:tcPr>
            <w:tcW w:w="1189" w:type="dxa"/>
          </w:tcPr>
          <w:p w14:paraId="541D7593" w14:textId="77777777" w:rsidR="00B536D8" w:rsidRPr="008C0CFB" w:rsidRDefault="0055395E" w:rsidP="00B536D8">
            <w:pPr>
              <w:spacing w:after="0"/>
              <w:jc w:val="right"/>
              <w:rPr>
                <w:rFonts w:ascii="Arial" w:hAnsi="Arial" w:cs="Arial"/>
                <w:bCs/>
              </w:rPr>
            </w:pPr>
            <w:r w:rsidRPr="008C0CFB">
              <w:rPr>
                <w:rFonts w:ascii="Arial" w:hAnsi="Arial" w:cs="Arial"/>
                <w:bCs/>
              </w:rPr>
              <w:t>478</w:t>
            </w:r>
          </w:p>
          <w:p w14:paraId="59F5775C" w14:textId="0A59E67E" w:rsidR="0055395E" w:rsidRPr="008C0CFB" w:rsidRDefault="0055395E" w:rsidP="00B536D8">
            <w:pPr>
              <w:spacing w:after="0"/>
              <w:jc w:val="right"/>
              <w:rPr>
                <w:rFonts w:ascii="Arial" w:hAnsi="Arial" w:cs="Arial"/>
                <w:bCs/>
              </w:rPr>
            </w:pPr>
            <w:r w:rsidRPr="008C0CFB">
              <w:rPr>
                <w:rFonts w:ascii="Arial" w:hAnsi="Arial" w:cs="Arial"/>
                <w:bCs/>
              </w:rPr>
              <w:t xml:space="preserve">2'577 </w:t>
            </w:r>
          </w:p>
        </w:tc>
      </w:tr>
      <w:tr w:rsidR="0055395E" w:rsidRPr="008C0CFB" w14:paraId="6F486FB8" w14:textId="77777777" w:rsidTr="0055395E">
        <w:tc>
          <w:tcPr>
            <w:tcW w:w="4138" w:type="dxa"/>
          </w:tcPr>
          <w:p w14:paraId="0BC21F8F" w14:textId="38836158" w:rsidR="00B536D8" w:rsidRPr="008C0CFB" w:rsidRDefault="00B536D8" w:rsidP="00FB7C48">
            <w:pPr>
              <w:spacing w:after="0"/>
              <w:rPr>
                <w:rFonts w:ascii="Arial" w:hAnsi="Arial" w:cs="Arial"/>
                <w:bCs/>
              </w:rPr>
            </w:pPr>
            <w:r w:rsidRPr="008C0CFB">
              <w:rPr>
                <w:rFonts w:ascii="Arial" w:hAnsi="Arial" w:cs="Arial"/>
                <w:bCs/>
              </w:rPr>
              <w:t>Holz in Kehrichtverbrennungsanlagen</w:t>
            </w:r>
          </w:p>
        </w:tc>
        <w:tc>
          <w:tcPr>
            <w:tcW w:w="836" w:type="dxa"/>
          </w:tcPr>
          <w:p w14:paraId="7F53C71E" w14:textId="53C29D8E" w:rsidR="00B536D8" w:rsidRPr="008C0CFB" w:rsidRDefault="00B536D8" w:rsidP="00B536D8">
            <w:pPr>
              <w:spacing w:after="0"/>
              <w:jc w:val="center"/>
              <w:rPr>
                <w:rFonts w:ascii="Arial" w:hAnsi="Arial" w:cs="Arial"/>
                <w:bCs/>
              </w:rPr>
            </w:pPr>
            <w:r w:rsidRPr="008C0CFB">
              <w:rPr>
                <w:rFonts w:ascii="Arial" w:hAnsi="Arial" w:cs="Arial"/>
                <w:bCs/>
              </w:rPr>
              <w:t>199</w:t>
            </w:r>
            <w:r w:rsidR="00551334" w:rsidRPr="008C0CFB">
              <w:rPr>
                <w:rFonts w:ascii="Arial" w:hAnsi="Arial" w:cs="Arial"/>
                <w:bCs/>
              </w:rPr>
              <w:t>0</w:t>
            </w:r>
          </w:p>
          <w:p w14:paraId="31416267" w14:textId="4C0AB7D1" w:rsidR="00B536D8" w:rsidRPr="008C0CFB" w:rsidRDefault="00B536D8" w:rsidP="00B536D8">
            <w:pPr>
              <w:spacing w:after="0"/>
              <w:jc w:val="center"/>
              <w:rPr>
                <w:rFonts w:ascii="Arial" w:hAnsi="Arial" w:cs="Arial"/>
                <w:bCs/>
              </w:rPr>
            </w:pPr>
            <w:r w:rsidRPr="008C0CFB">
              <w:rPr>
                <w:rFonts w:ascii="Arial" w:hAnsi="Arial" w:cs="Arial"/>
                <w:bCs/>
              </w:rPr>
              <w:t>2022</w:t>
            </w:r>
          </w:p>
        </w:tc>
        <w:tc>
          <w:tcPr>
            <w:tcW w:w="1365" w:type="dxa"/>
          </w:tcPr>
          <w:p w14:paraId="7FEF2837" w14:textId="77777777" w:rsidR="00B536D8" w:rsidRPr="008C0CFB" w:rsidRDefault="0055395E" w:rsidP="00B536D8">
            <w:pPr>
              <w:spacing w:after="0"/>
              <w:jc w:val="right"/>
              <w:rPr>
                <w:rFonts w:ascii="Arial" w:hAnsi="Arial" w:cs="Arial"/>
                <w:bCs/>
              </w:rPr>
            </w:pPr>
            <w:r w:rsidRPr="008C0CFB">
              <w:rPr>
                <w:rFonts w:ascii="Arial" w:hAnsi="Arial" w:cs="Arial"/>
                <w:bCs/>
              </w:rPr>
              <w:t>26</w:t>
            </w:r>
          </w:p>
          <w:p w14:paraId="3468DEC3" w14:textId="75E31882" w:rsidR="0055395E" w:rsidRPr="008C0CFB" w:rsidRDefault="0055395E" w:rsidP="00B536D8">
            <w:pPr>
              <w:spacing w:after="0"/>
              <w:jc w:val="right"/>
              <w:rPr>
                <w:rFonts w:ascii="Arial" w:hAnsi="Arial" w:cs="Arial"/>
                <w:bCs/>
              </w:rPr>
            </w:pPr>
            <w:r w:rsidRPr="008C0CFB">
              <w:rPr>
                <w:rFonts w:ascii="Arial" w:hAnsi="Arial" w:cs="Arial"/>
                <w:bCs/>
              </w:rPr>
              <w:t>29</w:t>
            </w:r>
          </w:p>
        </w:tc>
        <w:tc>
          <w:tcPr>
            <w:tcW w:w="1534" w:type="dxa"/>
          </w:tcPr>
          <w:p w14:paraId="16B1383A" w14:textId="77777777" w:rsidR="00B536D8" w:rsidRPr="008C0CFB" w:rsidRDefault="0055395E" w:rsidP="00B536D8">
            <w:pPr>
              <w:spacing w:after="0"/>
              <w:jc w:val="right"/>
              <w:rPr>
                <w:rFonts w:ascii="Arial" w:hAnsi="Arial" w:cs="Arial"/>
                <w:bCs/>
              </w:rPr>
            </w:pPr>
            <w:r w:rsidRPr="008C0CFB">
              <w:rPr>
                <w:rFonts w:ascii="Arial" w:hAnsi="Arial" w:cs="Arial"/>
                <w:bCs/>
              </w:rPr>
              <w:t xml:space="preserve">235'500 </w:t>
            </w:r>
          </w:p>
          <w:p w14:paraId="3636B469" w14:textId="0F589D42" w:rsidR="0055395E" w:rsidRPr="008C0CFB" w:rsidRDefault="0055395E" w:rsidP="00B536D8">
            <w:pPr>
              <w:spacing w:after="0"/>
              <w:jc w:val="right"/>
              <w:rPr>
                <w:rFonts w:ascii="Arial" w:hAnsi="Arial" w:cs="Arial"/>
                <w:bCs/>
              </w:rPr>
            </w:pPr>
            <w:r w:rsidRPr="008C0CFB">
              <w:rPr>
                <w:rFonts w:ascii="Arial" w:hAnsi="Arial" w:cs="Arial"/>
                <w:bCs/>
              </w:rPr>
              <w:t xml:space="preserve">222'362 </w:t>
            </w:r>
          </w:p>
        </w:tc>
        <w:tc>
          <w:tcPr>
            <w:tcW w:w="1189" w:type="dxa"/>
          </w:tcPr>
          <w:p w14:paraId="50586A25" w14:textId="77777777" w:rsidR="00B536D8" w:rsidRPr="008C0CFB" w:rsidRDefault="0055395E" w:rsidP="00B536D8">
            <w:pPr>
              <w:spacing w:after="0"/>
              <w:jc w:val="right"/>
              <w:rPr>
                <w:rFonts w:ascii="Arial" w:hAnsi="Arial" w:cs="Arial"/>
                <w:bCs/>
              </w:rPr>
            </w:pPr>
            <w:r w:rsidRPr="008C0CFB">
              <w:rPr>
                <w:rFonts w:ascii="Arial" w:hAnsi="Arial" w:cs="Arial"/>
                <w:bCs/>
              </w:rPr>
              <w:t>643</w:t>
            </w:r>
          </w:p>
          <w:p w14:paraId="6BB3E441" w14:textId="7446A86D" w:rsidR="0055395E" w:rsidRPr="008C0CFB" w:rsidRDefault="0055395E" w:rsidP="00B536D8">
            <w:pPr>
              <w:spacing w:after="0"/>
              <w:jc w:val="right"/>
              <w:rPr>
                <w:rFonts w:ascii="Arial" w:hAnsi="Arial" w:cs="Arial"/>
                <w:bCs/>
              </w:rPr>
            </w:pPr>
            <w:r w:rsidRPr="008C0CFB">
              <w:rPr>
                <w:rFonts w:ascii="Arial" w:hAnsi="Arial" w:cs="Arial"/>
                <w:bCs/>
              </w:rPr>
              <w:t>607</w:t>
            </w:r>
          </w:p>
        </w:tc>
      </w:tr>
      <w:tr w:rsidR="0055395E" w:rsidRPr="008C0CFB" w14:paraId="12B766C0" w14:textId="77777777" w:rsidTr="0055395E">
        <w:tc>
          <w:tcPr>
            <w:tcW w:w="4138" w:type="dxa"/>
          </w:tcPr>
          <w:p w14:paraId="48F2EB71" w14:textId="7C5CDC6B" w:rsidR="00B536D8" w:rsidRPr="008C0CFB" w:rsidRDefault="00B536D8" w:rsidP="00FB7C48">
            <w:pPr>
              <w:spacing w:after="0"/>
              <w:rPr>
                <w:rFonts w:ascii="Arial" w:hAnsi="Arial" w:cs="Arial"/>
                <w:b/>
              </w:rPr>
            </w:pPr>
            <w:r w:rsidRPr="008C0CFB">
              <w:rPr>
                <w:rFonts w:ascii="Arial" w:hAnsi="Arial" w:cs="Arial"/>
                <w:b/>
              </w:rPr>
              <w:t>Total</w:t>
            </w:r>
          </w:p>
        </w:tc>
        <w:tc>
          <w:tcPr>
            <w:tcW w:w="836" w:type="dxa"/>
          </w:tcPr>
          <w:p w14:paraId="523AB8BF" w14:textId="1E05336A" w:rsidR="00B536D8" w:rsidRPr="008C0CFB" w:rsidRDefault="00B536D8" w:rsidP="00B536D8">
            <w:pPr>
              <w:spacing w:after="0"/>
              <w:jc w:val="center"/>
              <w:rPr>
                <w:rFonts w:ascii="Arial" w:hAnsi="Arial" w:cs="Arial"/>
                <w:b/>
              </w:rPr>
            </w:pPr>
            <w:r w:rsidRPr="008C0CFB">
              <w:rPr>
                <w:rFonts w:ascii="Arial" w:hAnsi="Arial" w:cs="Arial"/>
                <w:b/>
              </w:rPr>
              <w:t>199</w:t>
            </w:r>
            <w:r w:rsidR="00551334" w:rsidRPr="008C0CFB">
              <w:rPr>
                <w:rFonts w:ascii="Arial" w:hAnsi="Arial" w:cs="Arial"/>
                <w:b/>
              </w:rPr>
              <w:t>0</w:t>
            </w:r>
          </w:p>
          <w:p w14:paraId="2A3F22CC" w14:textId="31CE5FD7" w:rsidR="00B536D8" w:rsidRPr="008C0CFB" w:rsidRDefault="00B536D8" w:rsidP="00B536D8">
            <w:pPr>
              <w:spacing w:after="0"/>
              <w:jc w:val="center"/>
              <w:rPr>
                <w:rFonts w:ascii="Arial" w:hAnsi="Arial" w:cs="Arial"/>
                <w:b/>
              </w:rPr>
            </w:pPr>
            <w:r w:rsidRPr="008C0CFB">
              <w:rPr>
                <w:rFonts w:ascii="Arial" w:hAnsi="Arial" w:cs="Arial"/>
                <w:b/>
              </w:rPr>
              <w:t>2022</w:t>
            </w:r>
          </w:p>
        </w:tc>
        <w:tc>
          <w:tcPr>
            <w:tcW w:w="1365" w:type="dxa"/>
          </w:tcPr>
          <w:p w14:paraId="6BF33AF8" w14:textId="2EC22B1F" w:rsidR="00B536D8" w:rsidRPr="008C0CFB" w:rsidRDefault="00B536D8" w:rsidP="00B536D8">
            <w:pPr>
              <w:spacing w:after="0"/>
              <w:jc w:val="right"/>
              <w:rPr>
                <w:rFonts w:ascii="Arial" w:hAnsi="Arial" w:cs="Arial"/>
                <w:b/>
              </w:rPr>
            </w:pPr>
            <w:r w:rsidRPr="008C0CFB">
              <w:rPr>
                <w:rFonts w:ascii="Arial" w:hAnsi="Arial" w:cs="Arial"/>
                <w:b/>
              </w:rPr>
              <w:t xml:space="preserve">692'518 </w:t>
            </w:r>
          </w:p>
          <w:p w14:paraId="5326B04B" w14:textId="7C1B1803" w:rsidR="00B536D8" w:rsidRPr="008C0CFB" w:rsidRDefault="00B536D8" w:rsidP="00B536D8">
            <w:pPr>
              <w:spacing w:after="0"/>
              <w:jc w:val="right"/>
              <w:rPr>
                <w:rFonts w:ascii="Arial" w:hAnsi="Arial" w:cs="Arial"/>
                <w:b/>
              </w:rPr>
            </w:pPr>
            <w:r w:rsidRPr="008C0CFB">
              <w:rPr>
                <w:rFonts w:ascii="Arial" w:hAnsi="Arial" w:cs="Arial"/>
                <w:b/>
              </w:rPr>
              <w:t xml:space="preserve">510'611 </w:t>
            </w:r>
          </w:p>
        </w:tc>
        <w:tc>
          <w:tcPr>
            <w:tcW w:w="1534" w:type="dxa"/>
          </w:tcPr>
          <w:p w14:paraId="11F8DDD2" w14:textId="004F07C9" w:rsidR="00B536D8" w:rsidRPr="008C0CFB" w:rsidRDefault="00B536D8" w:rsidP="00B536D8">
            <w:pPr>
              <w:spacing w:after="0"/>
              <w:jc w:val="right"/>
              <w:rPr>
                <w:rFonts w:ascii="Arial" w:hAnsi="Arial" w:cs="Arial"/>
                <w:b/>
              </w:rPr>
            </w:pPr>
            <w:r w:rsidRPr="008C0CFB">
              <w:rPr>
                <w:rFonts w:ascii="Arial" w:hAnsi="Arial" w:cs="Arial"/>
                <w:b/>
              </w:rPr>
              <w:t xml:space="preserve">3'250'800 </w:t>
            </w:r>
          </w:p>
          <w:p w14:paraId="0E461254" w14:textId="3B3C858A" w:rsidR="00B536D8" w:rsidRPr="008C0CFB" w:rsidRDefault="00B536D8" w:rsidP="00B536D8">
            <w:pPr>
              <w:spacing w:after="0"/>
              <w:jc w:val="right"/>
              <w:rPr>
                <w:rFonts w:ascii="Arial" w:hAnsi="Arial" w:cs="Arial"/>
                <w:b/>
              </w:rPr>
            </w:pPr>
            <w:r w:rsidRPr="008C0CFB">
              <w:rPr>
                <w:rFonts w:ascii="Arial" w:hAnsi="Arial" w:cs="Arial"/>
                <w:b/>
              </w:rPr>
              <w:t xml:space="preserve">5'500'071 </w:t>
            </w:r>
          </w:p>
        </w:tc>
        <w:tc>
          <w:tcPr>
            <w:tcW w:w="1189" w:type="dxa"/>
          </w:tcPr>
          <w:p w14:paraId="596BD15F" w14:textId="77777777" w:rsidR="00B536D8" w:rsidRPr="008C0CFB" w:rsidRDefault="00B536D8" w:rsidP="00B536D8">
            <w:pPr>
              <w:spacing w:after="0"/>
              <w:jc w:val="right"/>
              <w:rPr>
                <w:rFonts w:ascii="Arial" w:hAnsi="Arial" w:cs="Arial"/>
                <w:b/>
              </w:rPr>
            </w:pPr>
            <w:r w:rsidRPr="008C0CFB">
              <w:rPr>
                <w:rFonts w:ascii="Arial" w:hAnsi="Arial" w:cs="Arial"/>
                <w:b/>
              </w:rPr>
              <w:t xml:space="preserve">8'875 </w:t>
            </w:r>
          </w:p>
          <w:p w14:paraId="3139D544" w14:textId="560721C4" w:rsidR="00B536D8" w:rsidRPr="008C0CFB" w:rsidRDefault="00B536D8" w:rsidP="00B536D8">
            <w:pPr>
              <w:spacing w:after="0"/>
              <w:jc w:val="right"/>
              <w:rPr>
                <w:rFonts w:ascii="Arial" w:hAnsi="Arial" w:cs="Arial"/>
                <w:b/>
              </w:rPr>
            </w:pPr>
            <w:r w:rsidRPr="008C0CFB">
              <w:rPr>
                <w:rFonts w:ascii="Arial" w:hAnsi="Arial" w:cs="Arial"/>
                <w:b/>
              </w:rPr>
              <w:t xml:space="preserve">15'015 </w:t>
            </w:r>
          </w:p>
        </w:tc>
      </w:tr>
    </w:tbl>
    <w:p w14:paraId="3DF99413" w14:textId="428E526A" w:rsidR="00B536D8" w:rsidRPr="008C0CFB" w:rsidRDefault="0055395E" w:rsidP="00FB7C48">
      <w:pPr>
        <w:spacing w:after="0"/>
        <w:rPr>
          <w:rFonts w:ascii="Arial" w:hAnsi="Arial" w:cs="Arial"/>
          <w:bCs/>
        </w:rPr>
      </w:pPr>
      <w:r w:rsidRPr="008C0CFB">
        <w:rPr>
          <w:rFonts w:ascii="Arial" w:hAnsi="Arial" w:cs="Arial"/>
          <w:color w:val="161616"/>
          <w:sz w:val="15"/>
          <w:szCs w:val="15"/>
        </w:rPr>
        <w:t>Bundesamt für Energie BFE: Schweizerische Holzenergiestatistik 2022, angepasst. Umrechnung 1 m</w:t>
      </w:r>
      <w:r w:rsidRPr="008C0CFB">
        <w:rPr>
          <w:rFonts w:ascii="Arial" w:hAnsi="Arial" w:cs="Arial"/>
          <w:color w:val="161616"/>
          <w:sz w:val="15"/>
          <w:szCs w:val="15"/>
          <w:vertAlign w:val="superscript"/>
        </w:rPr>
        <w:t>3</w:t>
      </w:r>
      <w:r w:rsidRPr="008C0CFB">
        <w:rPr>
          <w:rFonts w:ascii="Arial" w:hAnsi="Arial" w:cs="Arial"/>
          <w:color w:val="161616"/>
          <w:sz w:val="10"/>
          <w:szCs w:val="10"/>
        </w:rPr>
        <w:t xml:space="preserve"> </w:t>
      </w:r>
      <w:r w:rsidRPr="008C0CFB">
        <w:rPr>
          <w:rFonts w:ascii="Arial" w:hAnsi="Arial" w:cs="Arial"/>
          <w:color w:val="161616"/>
          <w:sz w:val="15"/>
          <w:szCs w:val="15"/>
        </w:rPr>
        <w:t>= 2.73 MWh</w:t>
      </w:r>
    </w:p>
    <w:p w14:paraId="09B41A9A" w14:textId="77777777" w:rsidR="0055395E" w:rsidRPr="008C0CFB" w:rsidRDefault="0055395E" w:rsidP="00FB7C48">
      <w:pPr>
        <w:spacing w:after="0"/>
        <w:rPr>
          <w:rFonts w:ascii="Arial" w:hAnsi="Arial" w:cs="Arial"/>
          <w:b/>
        </w:rPr>
      </w:pPr>
    </w:p>
    <w:p w14:paraId="35365C5A" w14:textId="26B2F34F" w:rsidR="00021F94" w:rsidRPr="008C0CFB" w:rsidRDefault="00D302B0" w:rsidP="00FB7C48">
      <w:pPr>
        <w:spacing w:after="0"/>
        <w:rPr>
          <w:rFonts w:ascii="Arial" w:hAnsi="Arial" w:cs="Arial"/>
          <w:bCs/>
        </w:rPr>
      </w:pPr>
      <w:r w:rsidRPr="008C0CFB">
        <w:rPr>
          <w:rFonts w:ascii="Arial" w:hAnsi="Arial" w:cs="Arial"/>
          <w:bCs/>
        </w:rPr>
        <w:t>Der aktuelle Verbrauch ist recht gut abschätzbar, da die vorhandenen Statistiken (Holzenergiestatistik, Forststatistik, A</w:t>
      </w:r>
      <w:r w:rsidR="00021F94" w:rsidRPr="008C0CFB">
        <w:rPr>
          <w:rFonts w:ascii="Arial" w:hAnsi="Arial" w:cs="Arial"/>
          <w:bCs/>
        </w:rPr>
        <w:t>ltholzstatistik) belastbar sind. Allerdings überschätzt die Holzenergiestatistik den Holzverbrauch in Zimmeröfen und Altholzheizungen</w:t>
      </w:r>
      <w:r w:rsidR="00126B03">
        <w:rPr>
          <w:rFonts w:ascii="Arial" w:hAnsi="Arial" w:cs="Arial"/>
          <w:bCs/>
        </w:rPr>
        <w:t xml:space="preserve"> und wurde deshalb entsprechend angepasst.</w:t>
      </w:r>
    </w:p>
    <w:p w14:paraId="79EB61B2" w14:textId="77777777" w:rsidR="00021F94" w:rsidRPr="008C0CFB" w:rsidRDefault="00021F94" w:rsidP="00FB7C48">
      <w:pPr>
        <w:spacing w:after="0"/>
        <w:rPr>
          <w:rFonts w:ascii="Arial" w:hAnsi="Arial" w:cs="Arial"/>
          <w:bCs/>
        </w:rPr>
      </w:pPr>
    </w:p>
    <w:p w14:paraId="0222D546" w14:textId="47C2729F" w:rsidR="0015233D" w:rsidRPr="008C0CFB" w:rsidRDefault="0055395E" w:rsidP="00FB7C48">
      <w:pPr>
        <w:spacing w:after="0"/>
        <w:rPr>
          <w:rFonts w:ascii="Arial" w:hAnsi="Arial" w:cs="Arial"/>
          <w:b/>
        </w:rPr>
      </w:pPr>
      <w:r w:rsidRPr="008C0CFB">
        <w:rPr>
          <w:rFonts w:ascii="Arial" w:hAnsi="Arial" w:cs="Arial"/>
          <w:b/>
        </w:rPr>
        <w:t>Wieviel Energieholz steht zusätzlich noch zur Verfügung?</w:t>
      </w:r>
    </w:p>
    <w:p w14:paraId="2C842E3C" w14:textId="77777777" w:rsidR="0055395E" w:rsidRPr="008C0CFB" w:rsidRDefault="0055395E" w:rsidP="00FB7C48">
      <w:pPr>
        <w:spacing w:after="0"/>
        <w:rPr>
          <w:rFonts w:ascii="Arial" w:hAnsi="Arial" w:cs="Arial"/>
          <w:bCs/>
        </w:rPr>
      </w:pPr>
    </w:p>
    <w:p w14:paraId="70DC18D8" w14:textId="534BA21D" w:rsidR="00B40AB9" w:rsidRDefault="00882101" w:rsidP="00FB7C48">
      <w:pPr>
        <w:spacing w:after="0"/>
        <w:rPr>
          <w:rFonts w:ascii="Arial" w:hAnsi="Arial" w:cs="Arial"/>
          <w:bCs/>
        </w:rPr>
      </w:pPr>
      <w:r w:rsidRPr="008C0CFB">
        <w:rPr>
          <w:rFonts w:ascii="Arial" w:hAnsi="Arial" w:cs="Arial"/>
          <w:bCs/>
        </w:rPr>
        <w:t>Das Potenzial</w:t>
      </w:r>
      <w:r w:rsidR="00E129E1" w:rsidRPr="008C0CFB">
        <w:rPr>
          <w:rFonts w:ascii="Arial" w:hAnsi="Arial" w:cs="Arial"/>
          <w:bCs/>
        </w:rPr>
        <w:t xml:space="preserve"> ist keine </w:t>
      </w:r>
      <w:r w:rsidR="00F8242D">
        <w:rPr>
          <w:rFonts w:ascii="Arial" w:hAnsi="Arial" w:cs="Arial"/>
          <w:bCs/>
        </w:rPr>
        <w:t>fixe</w:t>
      </w:r>
      <w:r w:rsidR="00E129E1" w:rsidRPr="008C0CFB">
        <w:rPr>
          <w:rFonts w:ascii="Arial" w:hAnsi="Arial" w:cs="Arial"/>
          <w:bCs/>
        </w:rPr>
        <w:t xml:space="preserve"> Grösse, sondern verändert sich je nach wirtschaftlichen und politischen Rahmenbedingungen. </w:t>
      </w:r>
      <w:r w:rsidR="00B40AB9" w:rsidRPr="008C0CFB">
        <w:rPr>
          <w:rFonts w:ascii="Arial" w:hAnsi="Arial" w:cs="Arial"/>
          <w:bCs/>
        </w:rPr>
        <w:t xml:space="preserve">Je höher der Preis, desto grösser ist das </w:t>
      </w:r>
      <w:r w:rsidR="00F8242D">
        <w:rPr>
          <w:rFonts w:ascii="Arial" w:hAnsi="Arial" w:cs="Arial"/>
          <w:bCs/>
        </w:rPr>
        <w:t>Angebot</w:t>
      </w:r>
      <w:r w:rsidR="00B40AB9" w:rsidRPr="008C0CFB">
        <w:rPr>
          <w:rFonts w:ascii="Arial" w:hAnsi="Arial" w:cs="Arial"/>
          <w:bCs/>
        </w:rPr>
        <w:t xml:space="preserve">. </w:t>
      </w:r>
      <w:r w:rsidR="00F8242D">
        <w:rPr>
          <w:rFonts w:ascii="Arial" w:hAnsi="Arial" w:cs="Arial"/>
          <w:bCs/>
        </w:rPr>
        <w:t>Die rund 245'000 Waldbesitzenden bieten bevorzugt diejenigen Holzsortimente an, bei denen der Preis stimmt. Dies trifft vor allem auf das Energieholz zu, weniger auf das Stammholz für Sägereien und noch viel weniger auf das Industrieholz. So</w:t>
      </w:r>
      <w:r w:rsidR="00C10EAD" w:rsidRPr="008C0CFB">
        <w:rPr>
          <w:rFonts w:ascii="Arial" w:hAnsi="Arial" w:cs="Arial"/>
          <w:bCs/>
        </w:rPr>
        <w:t xml:space="preserve"> hat die </w:t>
      </w:r>
      <w:r w:rsidR="0002616D" w:rsidRPr="008C0CFB">
        <w:rPr>
          <w:rFonts w:ascii="Arial" w:hAnsi="Arial" w:cs="Arial"/>
          <w:bCs/>
        </w:rPr>
        <w:t>Energieholznutzung</w:t>
      </w:r>
      <w:r w:rsidR="00C10EAD" w:rsidRPr="008C0CFB">
        <w:rPr>
          <w:rFonts w:ascii="Arial" w:hAnsi="Arial" w:cs="Arial"/>
          <w:bCs/>
        </w:rPr>
        <w:t xml:space="preserve"> </w:t>
      </w:r>
      <w:r w:rsidR="0002616D" w:rsidRPr="008C0CFB">
        <w:rPr>
          <w:rFonts w:ascii="Arial" w:hAnsi="Arial" w:cs="Arial"/>
          <w:bCs/>
        </w:rPr>
        <w:t>zwischen 1990 und 202</w:t>
      </w:r>
      <w:r w:rsidR="00551334" w:rsidRPr="008C0CFB">
        <w:rPr>
          <w:rFonts w:ascii="Arial" w:hAnsi="Arial" w:cs="Arial"/>
          <w:bCs/>
        </w:rPr>
        <w:t>2</w:t>
      </w:r>
      <w:r w:rsidR="0002616D" w:rsidRPr="008C0CFB">
        <w:rPr>
          <w:rFonts w:ascii="Arial" w:hAnsi="Arial" w:cs="Arial"/>
          <w:bCs/>
        </w:rPr>
        <w:t xml:space="preserve"> jährlich um durchschnittlich </w:t>
      </w:r>
      <w:r w:rsidR="00551334" w:rsidRPr="008C0CFB">
        <w:rPr>
          <w:rFonts w:ascii="Arial" w:hAnsi="Arial" w:cs="Arial"/>
          <w:bCs/>
        </w:rPr>
        <w:t xml:space="preserve">mehr als 70'000 Kubikmeter </w:t>
      </w:r>
      <w:r w:rsidR="0002616D" w:rsidRPr="008C0CFB">
        <w:rPr>
          <w:rFonts w:ascii="Arial" w:hAnsi="Arial" w:cs="Arial"/>
          <w:bCs/>
        </w:rPr>
        <w:t>zugenommen</w:t>
      </w:r>
      <w:r w:rsidR="00C10EAD" w:rsidRPr="008C0CFB">
        <w:rPr>
          <w:rFonts w:ascii="Arial" w:hAnsi="Arial" w:cs="Arial"/>
          <w:bCs/>
        </w:rPr>
        <w:t xml:space="preserve">, während </w:t>
      </w:r>
      <w:r w:rsidR="002E16F1" w:rsidRPr="008C0CFB">
        <w:rPr>
          <w:rFonts w:ascii="Arial" w:hAnsi="Arial" w:cs="Arial"/>
          <w:bCs/>
        </w:rPr>
        <w:t>der Stammholz</w:t>
      </w:r>
      <w:r w:rsidR="006C3352">
        <w:rPr>
          <w:rFonts w:ascii="Arial" w:hAnsi="Arial" w:cs="Arial"/>
          <w:bCs/>
        </w:rPr>
        <w:t>absatz auf stabilem Niveau verharrte</w:t>
      </w:r>
      <w:r w:rsidR="00E63A03">
        <w:rPr>
          <w:rFonts w:ascii="Arial" w:hAnsi="Arial" w:cs="Arial"/>
          <w:bCs/>
        </w:rPr>
        <w:t xml:space="preserve"> und </w:t>
      </w:r>
      <w:r w:rsidR="00E63A03" w:rsidRPr="008C0CFB">
        <w:rPr>
          <w:rFonts w:ascii="Arial" w:hAnsi="Arial" w:cs="Arial"/>
          <w:bCs/>
        </w:rPr>
        <w:t>der Industrieholzmarkt deutlich an Bedeutung verlor</w:t>
      </w:r>
      <w:r w:rsidR="006C3352">
        <w:rPr>
          <w:rFonts w:ascii="Arial" w:hAnsi="Arial" w:cs="Arial"/>
          <w:bCs/>
        </w:rPr>
        <w:t>.</w:t>
      </w:r>
    </w:p>
    <w:p w14:paraId="3AC84152" w14:textId="77777777" w:rsidR="006C3352" w:rsidRDefault="006C3352" w:rsidP="00FB7C48">
      <w:pPr>
        <w:spacing w:after="0"/>
        <w:rPr>
          <w:rFonts w:ascii="Arial" w:hAnsi="Arial" w:cs="Arial"/>
          <w:bCs/>
        </w:rPr>
      </w:pPr>
    </w:p>
    <w:tbl>
      <w:tblPr>
        <w:tblStyle w:val="Tabellenraster"/>
        <w:tblW w:w="0" w:type="auto"/>
        <w:tblLook w:val="04A0" w:firstRow="1" w:lastRow="0" w:firstColumn="1" w:lastColumn="0" w:noHBand="0" w:noVBand="1"/>
      </w:tblPr>
      <w:tblGrid>
        <w:gridCol w:w="1806"/>
        <w:gridCol w:w="1230"/>
        <w:gridCol w:w="1186"/>
        <w:gridCol w:w="1232"/>
        <w:gridCol w:w="1188"/>
        <w:gridCol w:w="1232"/>
        <w:gridCol w:w="1188"/>
      </w:tblGrid>
      <w:tr w:rsidR="00F04BFB" w:rsidRPr="008C0CFB" w14:paraId="62449836" w14:textId="77777777" w:rsidTr="006C3352">
        <w:tc>
          <w:tcPr>
            <w:tcW w:w="1806" w:type="dxa"/>
            <w:vMerge w:val="restart"/>
          </w:tcPr>
          <w:p w14:paraId="21556178" w14:textId="4C39F2E6" w:rsidR="000C133B" w:rsidRPr="008C0CFB" w:rsidRDefault="000C133B" w:rsidP="00FB7C48">
            <w:pPr>
              <w:spacing w:after="0"/>
              <w:rPr>
                <w:rFonts w:ascii="Arial" w:hAnsi="Arial" w:cs="Arial"/>
                <w:b/>
              </w:rPr>
            </w:pPr>
            <w:r w:rsidRPr="008C0CFB">
              <w:rPr>
                <w:rFonts w:ascii="Arial" w:hAnsi="Arial" w:cs="Arial"/>
                <w:b/>
              </w:rPr>
              <w:lastRenderedPageBreak/>
              <w:t>Energieholz-quelle</w:t>
            </w:r>
          </w:p>
        </w:tc>
        <w:tc>
          <w:tcPr>
            <w:tcW w:w="2416" w:type="dxa"/>
            <w:gridSpan w:val="2"/>
          </w:tcPr>
          <w:p w14:paraId="195083A2" w14:textId="203821B0" w:rsidR="000C133B" w:rsidRPr="008C0CFB" w:rsidRDefault="000C133B" w:rsidP="00FB7C48">
            <w:pPr>
              <w:spacing w:after="0"/>
              <w:rPr>
                <w:rFonts w:ascii="Arial" w:hAnsi="Arial" w:cs="Arial"/>
                <w:b/>
              </w:rPr>
            </w:pPr>
            <w:r w:rsidRPr="008C0CFB">
              <w:rPr>
                <w:rFonts w:ascii="Arial" w:hAnsi="Arial" w:cs="Arial"/>
                <w:b/>
              </w:rPr>
              <w:t>Verbrauch 2022</w:t>
            </w:r>
          </w:p>
        </w:tc>
        <w:tc>
          <w:tcPr>
            <w:tcW w:w="2420" w:type="dxa"/>
            <w:gridSpan w:val="2"/>
          </w:tcPr>
          <w:p w14:paraId="03FF24C4" w14:textId="19D60B08" w:rsidR="000C133B" w:rsidRPr="008C0CFB" w:rsidRDefault="000C133B" w:rsidP="00FB7C48">
            <w:pPr>
              <w:spacing w:after="0"/>
              <w:rPr>
                <w:rFonts w:ascii="Arial" w:hAnsi="Arial" w:cs="Arial"/>
                <w:b/>
              </w:rPr>
            </w:pPr>
            <w:r w:rsidRPr="008C0CFB">
              <w:rPr>
                <w:rFonts w:ascii="Arial" w:hAnsi="Arial" w:cs="Arial"/>
                <w:b/>
              </w:rPr>
              <w:t>Potenzial total</w:t>
            </w:r>
          </w:p>
        </w:tc>
        <w:tc>
          <w:tcPr>
            <w:tcW w:w="2420" w:type="dxa"/>
            <w:gridSpan w:val="2"/>
          </w:tcPr>
          <w:p w14:paraId="16FF7BFF" w14:textId="1BE01A28" w:rsidR="000C133B" w:rsidRPr="008C0CFB" w:rsidRDefault="000C133B" w:rsidP="00FB7C48">
            <w:pPr>
              <w:spacing w:after="0"/>
              <w:rPr>
                <w:rFonts w:ascii="Arial" w:hAnsi="Arial" w:cs="Arial"/>
                <w:b/>
                <w:sz w:val="21"/>
                <w:szCs w:val="21"/>
              </w:rPr>
            </w:pPr>
            <w:r w:rsidRPr="008C0CFB">
              <w:rPr>
                <w:rFonts w:ascii="Arial" w:hAnsi="Arial" w:cs="Arial"/>
                <w:b/>
                <w:sz w:val="21"/>
                <w:szCs w:val="21"/>
              </w:rPr>
              <w:t>Potenzial verbleibend</w:t>
            </w:r>
          </w:p>
        </w:tc>
      </w:tr>
      <w:tr w:rsidR="00F04BFB" w:rsidRPr="008C0CFB" w14:paraId="7E8004FE" w14:textId="77777777" w:rsidTr="006C3352">
        <w:tc>
          <w:tcPr>
            <w:tcW w:w="1806" w:type="dxa"/>
            <w:vMerge/>
          </w:tcPr>
          <w:p w14:paraId="7C9040C1" w14:textId="77777777" w:rsidR="000C133B" w:rsidRPr="008C0CFB" w:rsidRDefault="000C133B" w:rsidP="000C133B">
            <w:pPr>
              <w:spacing w:after="0"/>
              <w:rPr>
                <w:rFonts w:ascii="Arial" w:hAnsi="Arial" w:cs="Arial"/>
                <w:bCs/>
              </w:rPr>
            </w:pPr>
          </w:p>
        </w:tc>
        <w:tc>
          <w:tcPr>
            <w:tcW w:w="1230" w:type="dxa"/>
          </w:tcPr>
          <w:p w14:paraId="451136F5" w14:textId="1D1A881E" w:rsidR="000C133B" w:rsidRPr="008C0CFB" w:rsidRDefault="000C133B" w:rsidP="000C133B">
            <w:pPr>
              <w:spacing w:after="0"/>
              <w:rPr>
                <w:rFonts w:ascii="Arial" w:hAnsi="Arial" w:cs="Arial"/>
                <w:bCs/>
              </w:rPr>
            </w:pPr>
            <w:r w:rsidRPr="008C0CFB">
              <w:rPr>
                <w:rFonts w:ascii="Arial" w:hAnsi="Arial" w:cs="Arial"/>
                <w:bCs/>
              </w:rPr>
              <w:t>[m</w:t>
            </w:r>
            <w:r w:rsidRPr="008C0CFB">
              <w:rPr>
                <w:rFonts w:ascii="Arial" w:hAnsi="Arial" w:cs="Arial"/>
                <w:bCs/>
                <w:vertAlign w:val="superscript"/>
              </w:rPr>
              <w:t>3</w:t>
            </w:r>
            <w:r w:rsidRPr="008C0CFB">
              <w:rPr>
                <w:rFonts w:ascii="Arial" w:hAnsi="Arial" w:cs="Arial"/>
                <w:bCs/>
              </w:rPr>
              <w:t>/a]</w:t>
            </w:r>
          </w:p>
        </w:tc>
        <w:tc>
          <w:tcPr>
            <w:tcW w:w="1186" w:type="dxa"/>
          </w:tcPr>
          <w:p w14:paraId="40761ECF" w14:textId="1DE4A132" w:rsidR="000C133B" w:rsidRPr="008C0CFB" w:rsidRDefault="000C133B" w:rsidP="000C133B">
            <w:pPr>
              <w:spacing w:after="0"/>
              <w:rPr>
                <w:rFonts w:ascii="Arial" w:hAnsi="Arial" w:cs="Arial"/>
                <w:bCs/>
              </w:rPr>
            </w:pPr>
            <w:r w:rsidRPr="008C0CFB">
              <w:rPr>
                <w:rFonts w:ascii="Arial" w:hAnsi="Arial" w:cs="Arial"/>
                <w:bCs/>
              </w:rPr>
              <w:t>[GWh/a]</w:t>
            </w:r>
          </w:p>
        </w:tc>
        <w:tc>
          <w:tcPr>
            <w:tcW w:w="1232" w:type="dxa"/>
          </w:tcPr>
          <w:p w14:paraId="0E88C1D2" w14:textId="64B836AA" w:rsidR="000C133B" w:rsidRPr="008C0CFB" w:rsidRDefault="000C133B" w:rsidP="000C133B">
            <w:pPr>
              <w:spacing w:after="0"/>
              <w:rPr>
                <w:rFonts w:ascii="Arial" w:hAnsi="Arial" w:cs="Arial"/>
                <w:bCs/>
              </w:rPr>
            </w:pPr>
            <w:r w:rsidRPr="008C0CFB">
              <w:rPr>
                <w:rFonts w:ascii="Arial" w:hAnsi="Arial" w:cs="Arial"/>
                <w:bCs/>
              </w:rPr>
              <w:t>[m</w:t>
            </w:r>
            <w:r w:rsidRPr="008C0CFB">
              <w:rPr>
                <w:rFonts w:ascii="Arial" w:hAnsi="Arial" w:cs="Arial"/>
                <w:bCs/>
                <w:vertAlign w:val="superscript"/>
              </w:rPr>
              <w:t>3</w:t>
            </w:r>
            <w:r w:rsidRPr="008C0CFB">
              <w:rPr>
                <w:rFonts w:ascii="Arial" w:hAnsi="Arial" w:cs="Arial"/>
                <w:bCs/>
              </w:rPr>
              <w:t>/a]</w:t>
            </w:r>
          </w:p>
        </w:tc>
        <w:tc>
          <w:tcPr>
            <w:tcW w:w="1188" w:type="dxa"/>
          </w:tcPr>
          <w:p w14:paraId="2F8047DE" w14:textId="0A15FC9D" w:rsidR="000C133B" w:rsidRPr="008C0CFB" w:rsidRDefault="000C133B" w:rsidP="000C133B">
            <w:pPr>
              <w:spacing w:after="0"/>
              <w:rPr>
                <w:rFonts w:ascii="Arial" w:hAnsi="Arial" w:cs="Arial"/>
                <w:bCs/>
              </w:rPr>
            </w:pPr>
            <w:r w:rsidRPr="008C0CFB">
              <w:rPr>
                <w:rFonts w:ascii="Arial" w:hAnsi="Arial" w:cs="Arial"/>
                <w:bCs/>
              </w:rPr>
              <w:t>[GWh/a]</w:t>
            </w:r>
          </w:p>
        </w:tc>
        <w:tc>
          <w:tcPr>
            <w:tcW w:w="1232" w:type="dxa"/>
          </w:tcPr>
          <w:p w14:paraId="6751DA6D" w14:textId="33AED087" w:rsidR="000C133B" w:rsidRPr="008C0CFB" w:rsidRDefault="000C133B" w:rsidP="000C133B">
            <w:pPr>
              <w:spacing w:after="0"/>
              <w:rPr>
                <w:rFonts w:ascii="Arial" w:hAnsi="Arial" w:cs="Arial"/>
                <w:bCs/>
              </w:rPr>
            </w:pPr>
            <w:r w:rsidRPr="008C0CFB">
              <w:rPr>
                <w:rFonts w:ascii="Arial" w:hAnsi="Arial" w:cs="Arial"/>
                <w:bCs/>
              </w:rPr>
              <w:t>[m</w:t>
            </w:r>
            <w:r w:rsidRPr="008C0CFB">
              <w:rPr>
                <w:rFonts w:ascii="Arial" w:hAnsi="Arial" w:cs="Arial"/>
                <w:bCs/>
                <w:vertAlign w:val="superscript"/>
              </w:rPr>
              <w:t>3</w:t>
            </w:r>
            <w:r w:rsidRPr="008C0CFB">
              <w:rPr>
                <w:rFonts w:ascii="Arial" w:hAnsi="Arial" w:cs="Arial"/>
                <w:bCs/>
              </w:rPr>
              <w:t>/a]</w:t>
            </w:r>
          </w:p>
        </w:tc>
        <w:tc>
          <w:tcPr>
            <w:tcW w:w="1188" w:type="dxa"/>
          </w:tcPr>
          <w:p w14:paraId="4A356C14" w14:textId="5482AB53" w:rsidR="000C133B" w:rsidRPr="008C0CFB" w:rsidRDefault="000C133B" w:rsidP="000C133B">
            <w:pPr>
              <w:spacing w:after="0"/>
              <w:rPr>
                <w:rFonts w:ascii="Arial" w:hAnsi="Arial" w:cs="Arial"/>
                <w:bCs/>
              </w:rPr>
            </w:pPr>
            <w:r w:rsidRPr="008C0CFB">
              <w:rPr>
                <w:rFonts w:ascii="Arial" w:hAnsi="Arial" w:cs="Arial"/>
                <w:bCs/>
              </w:rPr>
              <w:t>[GWh/a]</w:t>
            </w:r>
          </w:p>
        </w:tc>
      </w:tr>
      <w:tr w:rsidR="00F04BFB" w:rsidRPr="008C0CFB" w14:paraId="2EDC73E6" w14:textId="77777777" w:rsidTr="006C3352">
        <w:tc>
          <w:tcPr>
            <w:tcW w:w="1806" w:type="dxa"/>
          </w:tcPr>
          <w:p w14:paraId="104C7A4A" w14:textId="5D5575F8" w:rsidR="000C133B" w:rsidRPr="008C0CFB" w:rsidRDefault="000C133B" w:rsidP="00FB7C48">
            <w:pPr>
              <w:spacing w:after="0"/>
              <w:rPr>
                <w:rFonts w:ascii="Arial" w:hAnsi="Arial" w:cs="Arial"/>
                <w:bCs/>
              </w:rPr>
            </w:pPr>
            <w:r w:rsidRPr="008C0CFB">
              <w:rPr>
                <w:rFonts w:ascii="Arial" w:hAnsi="Arial" w:cs="Arial"/>
                <w:bCs/>
              </w:rPr>
              <w:t>Waldholz</w:t>
            </w:r>
          </w:p>
        </w:tc>
        <w:tc>
          <w:tcPr>
            <w:tcW w:w="1230" w:type="dxa"/>
          </w:tcPr>
          <w:p w14:paraId="60FC1FA7" w14:textId="75C85150" w:rsidR="000C133B" w:rsidRPr="008C0CFB" w:rsidRDefault="000C133B" w:rsidP="000C133B">
            <w:pPr>
              <w:spacing w:after="0"/>
              <w:jc w:val="right"/>
              <w:rPr>
                <w:rFonts w:ascii="Arial" w:hAnsi="Arial" w:cs="Arial"/>
                <w:bCs/>
              </w:rPr>
            </w:pPr>
            <w:r w:rsidRPr="008C0CFB">
              <w:rPr>
                <w:rFonts w:ascii="Arial" w:hAnsi="Arial" w:cs="Arial"/>
                <w:bCs/>
              </w:rPr>
              <w:t xml:space="preserve">2'607'500 </w:t>
            </w:r>
          </w:p>
        </w:tc>
        <w:tc>
          <w:tcPr>
            <w:tcW w:w="1186" w:type="dxa"/>
          </w:tcPr>
          <w:p w14:paraId="43574167" w14:textId="5DDE6E1D" w:rsidR="000C133B" w:rsidRPr="008C0CFB" w:rsidRDefault="000C133B" w:rsidP="000C133B">
            <w:pPr>
              <w:spacing w:after="0"/>
              <w:jc w:val="right"/>
              <w:rPr>
                <w:rFonts w:ascii="Arial" w:hAnsi="Arial" w:cs="Arial"/>
                <w:bCs/>
              </w:rPr>
            </w:pPr>
            <w:r w:rsidRPr="008C0CFB">
              <w:rPr>
                <w:rFonts w:ascii="Arial" w:hAnsi="Arial" w:cs="Arial"/>
                <w:bCs/>
              </w:rPr>
              <w:t xml:space="preserve">7'118 </w:t>
            </w:r>
          </w:p>
        </w:tc>
        <w:tc>
          <w:tcPr>
            <w:tcW w:w="1232" w:type="dxa"/>
          </w:tcPr>
          <w:p w14:paraId="0574F04D" w14:textId="179D3720" w:rsidR="000C133B" w:rsidRPr="008C0CFB" w:rsidRDefault="00F04BFB" w:rsidP="000C133B">
            <w:pPr>
              <w:spacing w:after="0"/>
              <w:jc w:val="right"/>
              <w:rPr>
                <w:rFonts w:ascii="Arial" w:hAnsi="Arial" w:cs="Arial"/>
                <w:bCs/>
              </w:rPr>
            </w:pPr>
            <w:r w:rsidRPr="008C0CFB">
              <w:rPr>
                <w:rFonts w:ascii="Arial" w:hAnsi="Arial" w:cs="Arial"/>
                <w:bCs/>
              </w:rPr>
              <w:t xml:space="preserve">3'479'300 </w:t>
            </w:r>
          </w:p>
        </w:tc>
        <w:tc>
          <w:tcPr>
            <w:tcW w:w="1188" w:type="dxa"/>
          </w:tcPr>
          <w:p w14:paraId="72337251" w14:textId="0A9F84DA" w:rsidR="000C133B" w:rsidRPr="008C0CFB" w:rsidRDefault="00F04BFB" w:rsidP="000C133B">
            <w:pPr>
              <w:spacing w:after="0"/>
              <w:jc w:val="right"/>
              <w:rPr>
                <w:rFonts w:ascii="Arial" w:hAnsi="Arial" w:cs="Arial"/>
                <w:bCs/>
              </w:rPr>
            </w:pPr>
            <w:r w:rsidRPr="008C0CFB">
              <w:rPr>
                <w:rFonts w:ascii="Arial" w:hAnsi="Arial" w:cs="Arial"/>
                <w:bCs/>
              </w:rPr>
              <w:t xml:space="preserve">9'498 </w:t>
            </w:r>
          </w:p>
        </w:tc>
        <w:tc>
          <w:tcPr>
            <w:tcW w:w="1232" w:type="dxa"/>
          </w:tcPr>
          <w:p w14:paraId="3AB57E0B" w14:textId="0CEA3B99" w:rsidR="000C133B" w:rsidRPr="008C0CFB" w:rsidRDefault="00F04BFB" w:rsidP="000C133B">
            <w:pPr>
              <w:spacing w:after="0"/>
              <w:jc w:val="right"/>
              <w:rPr>
                <w:rFonts w:ascii="Arial" w:hAnsi="Arial" w:cs="Arial"/>
                <w:bCs/>
              </w:rPr>
            </w:pPr>
            <w:r w:rsidRPr="008C0CFB">
              <w:rPr>
                <w:rFonts w:ascii="Arial" w:hAnsi="Arial" w:cs="Arial"/>
                <w:bCs/>
              </w:rPr>
              <w:t>871’800</w:t>
            </w:r>
          </w:p>
        </w:tc>
        <w:tc>
          <w:tcPr>
            <w:tcW w:w="1188" w:type="dxa"/>
          </w:tcPr>
          <w:p w14:paraId="5FB14622" w14:textId="799291D0" w:rsidR="000C133B" w:rsidRPr="008C0CFB" w:rsidRDefault="00F04BFB" w:rsidP="000C133B">
            <w:pPr>
              <w:spacing w:after="0"/>
              <w:jc w:val="right"/>
              <w:rPr>
                <w:rFonts w:ascii="Arial" w:hAnsi="Arial" w:cs="Arial"/>
                <w:bCs/>
              </w:rPr>
            </w:pPr>
            <w:r w:rsidRPr="008C0CFB">
              <w:rPr>
                <w:rFonts w:ascii="Arial" w:hAnsi="Arial" w:cs="Arial"/>
                <w:bCs/>
              </w:rPr>
              <w:t xml:space="preserve">2'380 </w:t>
            </w:r>
          </w:p>
        </w:tc>
      </w:tr>
      <w:tr w:rsidR="00F04BFB" w:rsidRPr="008C0CFB" w14:paraId="3F45B012" w14:textId="77777777" w:rsidTr="006C3352">
        <w:tc>
          <w:tcPr>
            <w:tcW w:w="1806" w:type="dxa"/>
          </w:tcPr>
          <w:p w14:paraId="5A570775" w14:textId="03972ED1" w:rsidR="000C133B" w:rsidRPr="008C0CFB" w:rsidRDefault="000C133B" w:rsidP="00FB7C48">
            <w:pPr>
              <w:spacing w:after="0"/>
              <w:rPr>
                <w:rFonts w:ascii="Arial" w:hAnsi="Arial" w:cs="Arial"/>
                <w:bCs/>
              </w:rPr>
            </w:pPr>
            <w:r w:rsidRPr="008C0CFB">
              <w:rPr>
                <w:rFonts w:ascii="Arial" w:hAnsi="Arial" w:cs="Arial"/>
                <w:bCs/>
              </w:rPr>
              <w:t>Landschaftsholz</w:t>
            </w:r>
          </w:p>
        </w:tc>
        <w:tc>
          <w:tcPr>
            <w:tcW w:w="1230" w:type="dxa"/>
          </w:tcPr>
          <w:p w14:paraId="57C60997" w14:textId="36364168" w:rsidR="000C133B" w:rsidRPr="008C0CFB" w:rsidRDefault="000C133B" w:rsidP="000C133B">
            <w:pPr>
              <w:spacing w:after="0"/>
              <w:jc w:val="right"/>
              <w:rPr>
                <w:rFonts w:ascii="Arial" w:hAnsi="Arial" w:cs="Arial"/>
                <w:bCs/>
              </w:rPr>
            </w:pPr>
            <w:r w:rsidRPr="008C0CFB">
              <w:rPr>
                <w:rFonts w:ascii="Arial" w:hAnsi="Arial" w:cs="Arial"/>
                <w:bCs/>
              </w:rPr>
              <w:t xml:space="preserve">326'700 </w:t>
            </w:r>
          </w:p>
        </w:tc>
        <w:tc>
          <w:tcPr>
            <w:tcW w:w="1186" w:type="dxa"/>
          </w:tcPr>
          <w:p w14:paraId="636AC9E2" w14:textId="6F3314D0" w:rsidR="000C133B" w:rsidRPr="008C0CFB" w:rsidRDefault="000C133B" w:rsidP="000C133B">
            <w:pPr>
              <w:spacing w:after="0"/>
              <w:jc w:val="right"/>
              <w:rPr>
                <w:rFonts w:ascii="Arial" w:hAnsi="Arial" w:cs="Arial"/>
                <w:bCs/>
              </w:rPr>
            </w:pPr>
            <w:r w:rsidRPr="008C0CFB">
              <w:rPr>
                <w:rFonts w:ascii="Arial" w:hAnsi="Arial" w:cs="Arial"/>
                <w:bCs/>
              </w:rPr>
              <w:t>892</w:t>
            </w:r>
          </w:p>
        </w:tc>
        <w:tc>
          <w:tcPr>
            <w:tcW w:w="1232" w:type="dxa"/>
          </w:tcPr>
          <w:p w14:paraId="12CFCFC0" w14:textId="4A3C9F8A" w:rsidR="000C133B" w:rsidRPr="008C0CFB" w:rsidRDefault="00F04BFB" w:rsidP="000C133B">
            <w:pPr>
              <w:spacing w:after="0"/>
              <w:jc w:val="right"/>
              <w:rPr>
                <w:rFonts w:ascii="Arial" w:hAnsi="Arial" w:cs="Arial"/>
                <w:bCs/>
              </w:rPr>
            </w:pPr>
            <w:r w:rsidRPr="008C0CFB">
              <w:rPr>
                <w:rFonts w:ascii="Arial" w:hAnsi="Arial" w:cs="Arial"/>
                <w:bCs/>
              </w:rPr>
              <w:t xml:space="preserve">456'800 </w:t>
            </w:r>
          </w:p>
        </w:tc>
        <w:tc>
          <w:tcPr>
            <w:tcW w:w="1188" w:type="dxa"/>
          </w:tcPr>
          <w:p w14:paraId="4961BAC3" w14:textId="7F7F84EA" w:rsidR="000C133B" w:rsidRPr="008C0CFB" w:rsidRDefault="00F04BFB" w:rsidP="000C133B">
            <w:pPr>
              <w:spacing w:after="0"/>
              <w:jc w:val="right"/>
              <w:rPr>
                <w:rFonts w:ascii="Arial" w:hAnsi="Arial" w:cs="Arial"/>
                <w:bCs/>
              </w:rPr>
            </w:pPr>
            <w:r w:rsidRPr="008C0CFB">
              <w:rPr>
                <w:rFonts w:ascii="Arial" w:hAnsi="Arial" w:cs="Arial"/>
                <w:bCs/>
              </w:rPr>
              <w:t xml:space="preserve">1'247 </w:t>
            </w:r>
          </w:p>
        </w:tc>
        <w:tc>
          <w:tcPr>
            <w:tcW w:w="1232" w:type="dxa"/>
          </w:tcPr>
          <w:p w14:paraId="4546A5A7" w14:textId="30597D66" w:rsidR="000C133B" w:rsidRPr="008C0CFB" w:rsidRDefault="00F04BFB" w:rsidP="000C133B">
            <w:pPr>
              <w:spacing w:after="0"/>
              <w:jc w:val="right"/>
              <w:rPr>
                <w:rFonts w:ascii="Arial" w:hAnsi="Arial" w:cs="Arial"/>
                <w:bCs/>
              </w:rPr>
            </w:pPr>
            <w:r w:rsidRPr="008C0CFB">
              <w:rPr>
                <w:rFonts w:ascii="Arial" w:hAnsi="Arial" w:cs="Arial"/>
                <w:bCs/>
              </w:rPr>
              <w:t>130’100</w:t>
            </w:r>
          </w:p>
        </w:tc>
        <w:tc>
          <w:tcPr>
            <w:tcW w:w="1188" w:type="dxa"/>
          </w:tcPr>
          <w:p w14:paraId="424DD734" w14:textId="4CF5F709" w:rsidR="000C133B" w:rsidRPr="008C0CFB" w:rsidRDefault="00F04BFB" w:rsidP="000C133B">
            <w:pPr>
              <w:spacing w:after="0"/>
              <w:jc w:val="right"/>
              <w:rPr>
                <w:rFonts w:ascii="Arial" w:hAnsi="Arial" w:cs="Arial"/>
                <w:bCs/>
              </w:rPr>
            </w:pPr>
            <w:r w:rsidRPr="008C0CFB">
              <w:rPr>
                <w:rFonts w:ascii="Arial" w:hAnsi="Arial" w:cs="Arial"/>
                <w:bCs/>
              </w:rPr>
              <w:t>355</w:t>
            </w:r>
          </w:p>
        </w:tc>
      </w:tr>
      <w:tr w:rsidR="00F04BFB" w:rsidRPr="008C0CFB" w14:paraId="7BD98548" w14:textId="77777777" w:rsidTr="006C3352">
        <w:tc>
          <w:tcPr>
            <w:tcW w:w="1806" w:type="dxa"/>
          </w:tcPr>
          <w:p w14:paraId="6F8075A2" w14:textId="67B85047" w:rsidR="000C133B" w:rsidRPr="008C0CFB" w:rsidRDefault="000C133B" w:rsidP="00FB7C48">
            <w:pPr>
              <w:spacing w:after="0"/>
              <w:rPr>
                <w:rFonts w:ascii="Arial" w:hAnsi="Arial" w:cs="Arial"/>
                <w:bCs/>
              </w:rPr>
            </w:pPr>
            <w:r w:rsidRPr="008C0CFB">
              <w:rPr>
                <w:rFonts w:ascii="Arial" w:hAnsi="Arial" w:cs="Arial"/>
                <w:bCs/>
              </w:rPr>
              <w:t>Restholz</w:t>
            </w:r>
          </w:p>
        </w:tc>
        <w:tc>
          <w:tcPr>
            <w:tcW w:w="1230" w:type="dxa"/>
          </w:tcPr>
          <w:p w14:paraId="2E2DB28D" w14:textId="7ECD74CE" w:rsidR="000C133B" w:rsidRPr="008C0CFB" w:rsidRDefault="000C133B" w:rsidP="000C133B">
            <w:pPr>
              <w:spacing w:after="0"/>
              <w:jc w:val="right"/>
              <w:rPr>
                <w:rFonts w:ascii="Arial" w:hAnsi="Arial" w:cs="Arial"/>
                <w:bCs/>
              </w:rPr>
            </w:pPr>
            <w:r w:rsidRPr="008C0CFB">
              <w:rPr>
                <w:rFonts w:ascii="Arial" w:hAnsi="Arial" w:cs="Arial"/>
                <w:bCs/>
              </w:rPr>
              <w:t>1'383’300</w:t>
            </w:r>
          </w:p>
        </w:tc>
        <w:tc>
          <w:tcPr>
            <w:tcW w:w="1186" w:type="dxa"/>
          </w:tcPr>
          <w:p w14:paraId="2A2797E0" w14:textId="3F662E68" w:rsidR="000C133B" w:rsidRPr="008C0CFB" w:rsidRDefault="000C133B" w:rsidP="000C133B">
            <w:pPr>
              <w:spacing w:after="0"/>
              <w:jc w:val="right"/>
              <w:rPr>
                <w:rFonts w:ascii="Arial" w:hAnsi="Arial" w:cs="Arial"/>
                <w:bCs/>
              </w:rPr>
            </w:pPr>
            <w:r w:rsidRPr="008C0CFB">
              <w:rPr>
                <w:rFonts w:ascii="Arial" w:hAnsi="Arial" w:cs="Arial"/>
                <w:bCs/>
              </w:rPr>
              <w:t xml:space="preserve">4'049 </w:t>
            </w:r>
          </w:p>
        </w:tc>
        <w:tc>
          <w:tcPr>
            <w:tcW w:w="1232" w:type="dxa"/>
          </w:tcPr>
          <w:p w14:paraId="4BFA3F3F" w14:textId="414165A4" w:rsidR="000C133B" w:rsidRPr="008C0CFB" w:rsidRDefault="00F04BFB" w:rsidP="000C133B">
            <w:pPr>
              <w:spacing w:after="0"/>
              <w:jc w:val="right"/>
              <w:rPr>
                <w:rFonts w:ascii="Arial" w:hAnsi="Arial" w:cs="Arial"/>
                <w:bCs/>
              </w:rPr>
            </w:pPr>
            <w:r w:rsidRPr="008C0CFB">
              <w:rPr>
                <w:rFonts w:ascii="Arial" w:hAnsi="Arial" w:cs="Arial"/>
                <w:bCs/>
              </w:rPr>
              <w:t xml:space="preserve">1'483'300 </w:t>
            </w:r>
          </w:p>
        </w:tc>
        <w:tc>
          <w:tcPr>
            <w:tcW w:w="1188" w:type="dxa"/>
          </w:tcPr>
          <w:p w14:paraId="5A5929AE" w14:textId="0415BC86" w:rsidR="000C133B" w:rsidRPr="008C0CFB" w:rsidRDefault="00F04BFB" w:rsidP="000C133B">
            <w:pPr>
              <w:spacing w:after="0"/>
              <w:jc w:val="right"/>
              <w:rPr>
                <w:rFonts w:ascii="Arial" w:hAnsi="Arial" w:cs="Arial"/>
                <w:bCs/>
              </w:rPr>
            </w:pPr>
            <w:r w:rsidRPr="008C0CFB">
              <w:rPr>
                <w:rFonts w:ascii="Arial" w:hAnsi="Arial" w:cs="Arial"/>
                <w:bCs/>
              </w:rPr>
              <w:t xml:space="preserve">4'049 </w:t>
            </w:r>
          </w:p>
        </w:tc>
        <w:tc>
          <w:tcPr>
            <w:tcW w:w="1232" w:type="dxa"/>
          </w:tcPr>
          <w:p w14:paraId="29A0D13A" w14:textId="742C79D5" w:rsidR="000C133B" w:rsidRPr="008C0CFB" w:rsidRDefault="00F04BFB" w:rsidP="000C133B">
            <w:pPr>
              <w:spacing w:after="0"/>
              <w:jc w:val="right"/>
              <w:rPr>
                <w:rFonts w:ascii="Arial" w:hAnsi="Arial" w:cs="Arial"/>
                <w:bCs/>
              </w:rPr>
            </w:pPr>
            <w:r w:rsidRPr="008C0CFB">
              <w:rPr>
                <w:rFonts w:ascii="Arial" w:hAnsi="Arial" w:cs="Arial"/>
                <w:bCs/>
              </w:rPr>
              <w:t>-</w:t>
            </w:r>
          </w:p>
        </w:tc>
        <w:tc>
          <w:tcPr>
            <w:tcW w:w="1188" w:type="dxa"/>
          </w:tcPr>
          <w:p w14:paraId="19876FD2" w14:textId="70113174" w:rsidR="000C133B" w:rsidRPr="008C0CFB" w:rsidRDefault="00F04BFB" w:rsidP="000C133B">
            <w:pPr>
              <w:spacing w:after="0"/>
              <w:jc w:val="right"/>
              <w:rPr>
                <w:rFonts w:ascii="Arial" w:hAnsi="Arial" w:cs="Arial"/>
                <w:bCs/>
              </w:rPr>
            </w:pPr>
            <w:r w:rsidRPr="008C0CFB">
              <w:rPr>
                <w:rFonts w:ascii="Arial" w:hAnsi="Arial" w:cs="Arial"/>
                <w:bCs/>
              </w:rPr>
              <w:t>-</w:t>
            </w:r>
          </w:p>
        </w:tc>
      </w:tr>
      <w:tr w:rsidR="00F04BFB" w:rsidRPr="008C0CFB" w14:paraId="68E00675" w14:textId="77777777" w:rsidTr="006C3352">
        <w:tc>
          <w:tcPr>
            <w:tcW w:w="1806" w:type="dxa"/>
          </w:tcPr>
          <w:p w14:paraId="62DB0B9F" w14:textId="3BCF2097" w:rsidR="000C133B" w:rsidRPr="008C0CFB" w:rsidRDefault="000C133B" w:rsidP="00FB7C48">
            <w:pPr>
              <w:spacing w:after="0"/>
              <w:rPr>
                <w:rFonts w:ascii="Arial" w:hAnsi="Arial" w:cs="Arial"/>
                <w:bCs/>
              </w:rPr>
            </w:pPr>
            <w:r w:rsidRPr="008C0CFB">
              <w:rPr>
                <w:rFonts w:ascii="Arial" w:hAnsi="Arial" w:cs="Arial"/>
                <w:bCs/>
              </w:rPr>
              <w:t>Altholz</w:t>
            </w:r>
          </w:p>
        </w:tc>
        <w:tc>
          <w:tcPr>
            <w:tcW w:w="1230" w:type="dxa"/>
          </w:tcPr>
          <w:p w14:paraId="0859C555" w14:textId="339DD4FF" w:rsidR="000C133B" w:rsidRPr="008C0CFB" w:rsidRDefault="000C133B" w:rsidP="000C133B">
            <w:pPr>
              <w:spacing w:after="0"/>
              <w:jc w:val="right"/>
              <w:rPr>
                <w:rFonts w:ascii="Arial" w:hAnsi="Arial" w:cs="Arial"/>
                <w:bCs/>
              </w:rPr>
            </w:pPr>
            <w:r w:rsidRPr="008C0CFB">
              <w:rPr>
                <w:rFonts w:ascii="Arial" w:hAnsi="Arial" w:cs="Arial"/>
                <w:bCs/>
              </w:rPr>
              <w:t xml:space="preserve">1'082'600 </w:t>
            </w:r>
          </w:p>
        </w:tc>
        <w:tc>
          <w:tcPr>
            <w:tcW w:w="1186" w:type="dxa"/>
          </w:tcPr>
          <w:p w14:paraId="76F3F6F0" w14:textId="0B5E2F22" w:rsidR="000C133B" w:rsidRPr="008C0CFB" w:rsidRDefault="000C133B" w:rsidP="000C133B">
            <w:pPr>
              <w:spacing w:after="0"/>
              <w:jc w:val="right"/>
              <w:rPr>
                <w:rFonts w:ascii="Arial" w:hAnsi="Arial" w:cs="Arial"/>
                <w:bCs/>
              </w:rPr>
            </w:pPr>
            <w:r w:rsidRPr="008C0CFB">
              <w:rPr>
                <w:rFonts w:ascii="Arial" w:hAnsi="Arial" w:cs="Arial"/>
                <w:bCs/>
              </w:rPr>
              <w:t xml:space="preserve">2'955 </w:t>
            </w:r>
          </w:p>
        </w:tc>
        <w:tc>
          <w:tcPr>
            <w:tcW w:w="1232" w:type="dxa"/>
          </w:tcPr>
          <w:p w14:paraId="085543B6" w14:textId="51E54C8F" w:rsidR="000C133B" w:rsidRPr="008C0CFB" w:rsidRDefault="00F04BFB" w:rsidP="000C133B">
            <w:pPr>
              <w:spacing w:after="0"/>
              <w:jc w:val="right"/>
              <w:rPr>
                <w:rFonts w:ascii="Arial" w:hAnsi="Arial" w:cs="Arial"/>
                <w:bCs/>
              </w:rPr>
            </w:pPr>
            <w:r w:rsidRPr="008C0CFB">
              <w:rPr>
                <w:rFonts w:ascii="Arial" w:hAnsi="Arial" w:cs="Arial"/>
                <w:bCs/>
              </w:rPr>
              <w:t xml:space="preserve">1'364'300 </w:t>
            </w:r>
          </w:p>
        </w:tc>
        <w:tc>
          <w:tcPr>
            <w:tcW w:w="1188" w:type="dxa"/>
          </w:tcPr>
          <w:p w14:paraId="4A134D98" w14:textId="23ADE850" w:rsidR="000C133B" w:rsidRPr="008C0CFB" w:rsidRDefault="00F04BFB" w:rsidP="000C133B">
            <w:pPr>
              <w:spacing w:after="0"/>
              <w:jc w:val="right"/>
              <w:rPr>
                <w:rFonts w:ascii="Arial" w:hAnsi="Arial" w:cs="Arial"/>
                <w:bCs/>
              </w:rPr>
            </w:pPr>
            <w:r w:rsidRPr="008C0CFB">
              <w:rPr>
                <w:rFonts w:ascii="Arial" w:hAnsi="Arial" w:cs="Arial"/>
                <w:bCs/>
              </w:rPr>
              <w:t xml:space="preserve">3'725 </w:t>
            </w:r>
          </w:p>
        </w:tc>
        <w:tc>
          <w:tcPr>
            <w:tcW w:w="1232" w:type="dxa"/>
          </w:tcPr>
          <w:p w14:paraId="6194AE10" w14:textId="6817491A" w:rsidR="000C133B" w:rsidRPr="008C0CFB" w:rsidRDefault="00F04BFB" w:rsidP="000C133B">
            <w:pPr>
              <w:spacing w:after="0"/>
              <w:jc w:val="right"/>
              <w:rPr>
                <w:rFonts w:ascii="Arial" w:hAnsi="Arial" w:cs="Arial"/>
                <w:bCs/>
              </w:rPr>
            </w:pPr>
            <w:r w:rsidRPr="008C0CFB">
              <w:rPr>
                <w:rFonts w:ascii="Arial" w:hAnsi="Arial" w:cs="Arial"/>
                <w:bCs/>
              </w:rPr>
              <w:t xml:space="preserve">281'700 </w:t>
            </w:r>
          </w:p>
        </w:tc>
        <w:tc>
          <w:tcPr>
            <w:tcW w:w="1188" w:type="dxa"/>
          </w:tcPr>
          <w:p w14:paraId="1FE68098" w14:textId="5EA32D05" w:rsidR="000C133B" w:rsidRPr="008C0CFB" w:rsidRDefault="00F04BFB" w:rsidP="000C133B">
            <w:pPr>
              <w:spacing w:after="0"/>
              <w:jc w:val="right"/>
              <w:rPr>
                <w:rFonts w:ascii="Arial" w:hAnsi="Arial" w:cs="Arial"/>
                <w:bCs/>
              </w:rPr>
            </w:pPr>
            <w:r w:rsidRPr="008C0CFB">
              <w:rPr>
                <w:rFonts w:ascii="Arial" w:hAnsi="Arial" w:cs="Arial"/>
                <w:bCs/>
              </w:rPr>
              <w:t>770</w:t>
            </w:r>
          </w:p>
        </w:tc>
      </w:tr>
      <w:tr w:rsidR="00F04BFB" w:rsidRPr="008C0CFB" w14:paraId="16151285" w14:textId="77777777" w:rsidTr="006C3352">
        <w:tc>
          <w:tcPr>
            <w:tcW w:w="1806" w:type="dxa"/>
          </w:tcPr>
          <w:p w14:paraId="75649C07" w14:textId="34F0B3C6" w:rsidR="000C133B" w:rsidRPr="008C0CFB" w:rsidRDefault="000C133B" w:rsidP="00FB7C48">
            <w:pPr>
              <w:spacing w:after="0"/>
              <w:rPr>
                <w:rFonts w:ascii="Arial" w:hAnsi="Arial" w:cs="Arial"/>
                <w:b/>
              </w:rPr>
            </w:pPr>
            <w:r w:rsidRPr="008C0CFB">
              <w:rPr>
                <w:rFonts w:ascii="Arial" w:hAnsi="Arial" w:cs="Arial"/>
                <w:b/>
              </w:rPr>
              <w:t>Total</w:t>
            </w:r>
          </w:p>
        </w:tc>
        <w:tc>
          <w:tcPr>
            <w:tcW w:w="1230" w:type="dxa"/>
          </w:tcPr>
          <w:p w14:paraId="2FC2BD78" w14:textId="5F9656B0" w:rsidR="000C133B" w:rsidRPr="008C0CFB" w:rsidRDefault="000C133B" w:rsidP="000C133B">
            <w:pPr>
              <w:spacing w:after="0"/>
              <w:jc w:val="right"/>
              <w:rPr>
                <w:rFonts w:ascii="Arial" w:hAnsi="Arial" w:cs="Arial"/>
                <w:b/>
              </w:rPr>
            </w:pPr>
            <w:r w:rsidRPr="008C0CFB">
              <w:rPr>
                <w:rFonts w:ascii="Arial" w:hAnsi="Arial" w:cs="Arial"/>
                <w:b/>
              </w:rPr>
              <w:t xml:space="preserve">5'500'100 </w:t>
            </w:r>
          </w:p>
        </w:tc>
        <w:tc>
          <w:tcPr>
            <w:tcW w:w="1186" w:type="dxa"/>
          </w:tcPr>
          <w:p w14:paraId="5CEB610F" w14:textId="2E03317F" w:rsidR="000C133B" w:rsidRPr="008C0CFB" w:rsidRDefault="000C133B" w:rsidP="000C133B">
            <w:pPr>
              <w:spacing w:after="0"/>
              <w:jc w:val="right"/>
              <w:rPr>
                <w:rFonts w:ascii="Arial" w:hAnsi="Arial" w:cs="Arial"/>
                <w:b/>
              </w:rPr>
            </w:pPr>
            <w:r w:rsidRPr="008C0CFB">
              <w:rPr>
                <w:rFonts w:ascii="Arial" w:hAnsi="Arial" w:cs="Arial"/>
                <w:b/>
              </w:rPr>
              <w:t xml:space="preserve">15'015 </w:t>
            </w:r>
          </w:p>
        </w:tc>
        <w:tc>
          <w:tcPr>
            <w:tcW w:w="1232" w:type="dxa"/>
          </w:tcPr>
          <w:p w14:paraId="4CF76CB1" w14:textId="27CB303F" w:rsidR="000C133B" w:rsidRPr="008C0CFB" w:rsidRDefault="00F04BFB" w:rsidP="000C133B">
            <w:pPr>
              <w:spacing w:after="0"/>
              <w:jc w:val="right"/>
              <w:rPr>
                <w:rFonts w:ascii="Arial" w:hAnsi="Arial" w:cs="Arial"/>
                <w:b/>
              </w:rPr>
            </w:pPr>
            <w:r w:rsidRPr="008C0CFB">
              <w:rPr>
                <w:rFonts w:ascii="Arial" w:hAnsi="Arial" w:cs="Arial"/>
                <w:b/>
              </w:rPr>
              <w:t xml:space="preserve">6'783'700 </w:t>
            </w:r>
          </w:p>
        </w:tc>
        <w:tc>
          <w:tcPr>
            <w:tcW w:w="1188" w:type="dxa"/>
          </w:tcPr>
          <w:p w14:paraId="4B119FE3" w14:textId="235C4BE6" w:rsidR="000C133B" w:rsidRPr="008C0CFB" w:rsidRDefault="00F04BFB" w:rsidP="000C133B">
            <w:pPr>
              <w:spacing w:after="0"/>
              <w:jc w:val="right"/>
              <w:rPr>
                <w:rFonts w:ascii="Arial" w:hAnsi="Arial" w:cs="Arial"/>
                <w:b/>
              </w:rPr>
            </w:pPr>
            <w:r w:rsidRPr="008C0CFB">
              <w:rPr>
                <w:rFonts w:ascii="Arial" w:hAnsi="Arial" w:cs="Arial"/>
                <w:b/>
              </w:rPr>
              <w:t xml:space="preserve">18'520 </w:t>
            </w:r>
          </w:p>
        </w:tc>
        <w:tc>
          <w:tcPr>
            <w:tcW w:w="1232" w:type="dxa"/>
          </w:tcPr>
          <w:p w14:paraId="7E2F9C48" w14:textId="63191171" w:rsidR="000C133B" w:rsidRPr="008C0CFB" w:rsidRDefault="00F04BFB" w:rsidP="000C133B">
            <w:pPr>
              <w:spacing w:after="0"/>
              <w:jc w:val="right"/>
              <w:rPr>
                <w:rFonts w:ascii="Arial" w:hAnsi="Arial" w:cs="Arial"/>
                <w:b/>
              </w:rPr>
            </w:pPr>
            <w:r w:rsidRPr="008C0CFB">
              <w:rPr>
                <w:rFonts w:ascii="Arial" w:hAnsi="Arial" w:cs="Arial"/>
                <w:b/>
              </w:rPr>
              <w:t xml:space="preserve">1'283'600 </w:t>
            </w:r>
          </w:p>
        </w:tc>
        <w:tc>
          <w:tcPr>
            <w:tcW w:w="1188" w:type="dxa"/>
          </w:tcPr>
          <w:p w14:paraId="038B67AD" w14:textId="367AC88E" w:rsidR="000C133B" w:rsidRPr="008C0CFB" w:rsidRDefault="00F04BFB" w:rsidP="000C133B">
            <w:pPr>
              <w:spacing w:after="0"/>
              <w:jc w:val="right"/>
              <w:rPr>
                <w:rFonts w:ascii="Arial" w:hAnsi="Arial" w:cs="Arial"/>
                <w:b/>
              </w:rPr>
            </w:pPr>
            <w:r w:rsidRPr="008C0CFB">
              <w:rPr>
                <w:rFonts w:ascii="Arial" w:hAnsi="Arial" w:cs="Arial"/>
                <w:b/>
              </w:rPr>
              <w:t>3'505</w:t>
            </w:r>
          </w:p>
        </w:tc>
      </w:tr>
    </w:tbl>
    <w:p w14:paraId="128EFB47" w14:textId="77777777" w:rsidR="000C133B" w:rsidRPr="008C0CFB" w:rsidRDefault="000C133B" w:rsidP="00FB7C48">
      <w:pPr>
        <w:spacing w:after="0"/>
        <w:rPr>
          <w:rFonts w:ascii="Arial" w:hAnsi="Arial" w:cs="Arial"/>
          <w:bCs/>
        </w:rPr>
      </w:pPr>
    </w:p>
    <w:p w14:paraId="2DE98C85" w14:textId="13FDB981" w:rsidR="00866867" w:rsidRPr="008C0CFB" w:rsidRDefault="00F04BFB" w:rsidP="00FB7C48">
      <w:pPr>
        <w:spacing w:after="0"/>
        <w:rPr>
          <w:rFonts w:ascii="Arial" w:hAnsi="Arial" w:cs="Arial"/>
          <w:bCs/>
        </w:rPr>
      </w:pPr>
      <w:r w:rsidRPr="008C0CFB">
        <w:rPr>
          <w:rFonts w:ascii="Arial" w:hAnsi="Arial" w:cs="Arial"/>
          <w:bCs/>
        </w:rPr>
        <w:t xml:space="preserve">Das </w:t>
      </w:r>
      <w:r w:rsidR="008C0CFB">
        <w:rPr>
          <w:rFonts w:ascii="Arial" w:hAnsi="Arial" w:cs="Arial"/>
          <w:bCs/>
        </w:rPr>
        <w:t>T</w:t>
      </w:r>
      <w:r w:rsidRPr="008C0CFB">
        <w:rPr>
          <w:rFonts w:ascii="Arial" w:hAnsi="Arial" w:cs="Arial"/>
          <w:bCs/>
        </w:rPr>
        <w:t xml:space="preserve">heoretische Potenzial von Waldholz liegt bei </w:t>
      </w:r>
      <w:r w:rsidR="00126B03">
        <w:rPr>
          <w:rFonts w:ascii="Arial" w:hAnsi="Arial" w:cs="Arial"/>
          <w:bCs/>
        </w:rPr>
        <w:t>rund 10 Millionen Kubikmetern</w:t>
      </w:r>
      <w:r w:rsidRPr="008C0CFB">
        <w:rPr>
          <w:rFonts w:ascii="Arial" w:hAnsi="Arial" w:cs="Arial"/>
          <w:bCs/>
        </w:rPr>
        <w:t xml:space="preserve">. </w:t>
      </w:r>
      <w:r w:rsidR="00871CBA">
        <w:rPr>
          <w:rFonts w:ascii="Arial" w:hAnsi="Arial" w:cs="Arial"/>
          <w:bCs/>
        </w:rPr>
        <w:t>Seine Nutzung ist</w:t>
      </w:r>
      <w:r w:rsidRPr="008C0CFB">
        <w:rPr>
          <w:rFonts w:ascii="Arial" w:hAnsi="Arial" w:cs="Arial"/>
          <w:bCs/>
        </w:rPr>
        <w:t xml:space="preserve"> </w:t>
      </w:r>
      <w:r w:rsidR="000142AF">
        <w:rPr>
          <w:rFonts w:ascii="Arial" w:hAnsi="Arial" w:cs="Arial"/>
          <w:bCs/>
        </w:rPr>
        <w:t>weder</w:t>
      </w:r>
      <w:r w:rsidRPr="008C0CFB">
        <w:rPr>
          <w:rFonts w:ascii="Arial" w:hAnsi="Arial" w:cs="Arial"/>
          <w:bCs/>
        </w:rPr>
        <w:t xml:space="preserve"> sinnvoll</w:t>
      </w:r>
      <w:r w:rsidR="000142AF">
        <w:rPr>
          <w:rFonts w:ascii="Arial" w:hAnsi="Arial" w:cs="Arial"/>
          <w:bCs/>
        </w:rPr>
        <w:t xml:space="preserve"> noch möglich</w:t>
      </w:r>
      <w:r w:rsidRPr="008C0CFB">
        <w:rPr>
          <w:rFonts w:ascii="Arial" w:hAnsi="Arial" w:cs="Arial"/>
          <w:bCs/>
        </w:rPr>
        <w:t xml:space="preserve">, weil </w:t>
      </w:r>
      <w:r w:rsidR="00871CBA">
        <w:rPr>
          <w:rFonts w:ascii="Arial" w:hAnsi="Arial" w:cs="Arial"/>
          <w:bCs/>
        </w:rPr>
        <w:t>es</w:t>
      </w:r>
      <w:r w:rsidRPr="008C0CFB">
        <w:rPr>
          <w:rFonts w:ascii="Arial" w:hAnsi="Arial" w:cs="Arial"/>
          <w:bCs/>
        </w:rPr>
        <w:t xml:space="preserve"> auch sehr schlecht zugängliche Bergwälder sowie Naturreservate </w:t>
      </w:r>
      <w:r w:rsidR="00871CBA">
        <w:rPr>
          <w:rFonts w:ascii="Arial" w:hAnsi="Arial" w:cs="Arial"/>
          <w:bCs/>
        </w:rPr>
        <w:t>umfasst</w:t>
      </w:r>
      <w:r w:rsidRPr="008C0CFB">
        <w:rPr>
          <w:rFonts w:ascii="Arial" w:hAnsi="Arial" w:cs="Arial"/>
          <w:bCs/>
        </w:rPr>
        <w:t>. Günstige Importe oder das Verhalten der Waldbesitzenden vermindern den Ausschöpfungsgrad des Theoretischen Potenzials zusätzlich.</w:t>
      </w:r>
      <w:r w:rsidR="00CA3912" w:rsidRPr="008C0CFB">
        <w:rPr>
          <w:rFonts w:ascii="Arial" w:hAnsi="Arial" w:cs="Arial"/>
          <w:bCs/>
        </w:rPr>
        <w:t xml:space="preserve"> Dennoch bietet der Wald noch die grösste zusätzlich nutzbare Holzmenge.</w:t>
      </w:r>
    </w:p>
    <w:p w14:paraId="41E2F7A7" w14:textId="77777777" w:rsidR="00C10EAD" w:rsidRPr="008C0CFB" w:rsidRDefault="00C10EAD" w:rsidP="00FB7C48">
      <w:pPr>
        <w:spacing w:after="0"/>
        <w:rPr>
          <w:rFonts w:ascii="Arial" w:hAnsi="Arial" w:cs="Arial"/>
          <w:bCs/>
        </w:rPr>
      </w:pPr>
    </w:p>
    <w:p w14:paraId="2A97E893" w14:textId="46A33628" w:rsidR="00C10EAD" w:rsidRPr="008C0CFB" w:rsidRDefault="00CA3912" w:rsidP="00FB7C48">
      <w:pPr>
        <w:spacing w:after="0"/>
        <w:rPr>
          <w:rFonts w:ascii="Arial" w:hAnsi="Arial" w:cs="Arial"/>
          <w:b/>
        </w:rPr>
      </w:pPr>
      <w:r w:rsidRPr="008C0CFB">
        <w:rPr>
          <w:rFonts w:ascii="Arial" w:hAnsi="Arial" w:cs="Arial"/>
          <w:b/>
        </w:rPr>
        <w:t>Gut 80 Prozent des Potenzials sind genutzt</w:t>
      </w:r>
    </w:p>
    <w:p w14:paraId="751B8C98" w14:textId="77777777" w:rsidR="00C10EAD" w:rsidRPr="008C0CFB" w:rsidRDefault="00C10EAD" w:rsidP="00FB7C48">
      <w:pPr>
        <w:spacing w:after="0"/>
        <w:rPr>
          <w:rFonts w:ascii="Arial" w:hAnsi="Arial" w:cs="Arial"/>
          <w:bCs/>
        </w:rPr>
      </w:pPr>
    </w:p>
    <w:p w14:paraId="2057C491" w14:textId="1EF77D45" w:rsidR="00CA3912" w:rsidRDefault="00CA3912" w:rsidP="00CA3912">
      <w:pPr>
        <w:spacing w:after="0"/>
        <w:rPr>
          <w:rFonts w:ascii="Arial" w:hAnsi="Arial" w:cs="Arial"/>
          <w:bCs/>
        </w:rPr>
      </w:pPr>
      <w:r w:rsidRPr="008C0CFB">
        <w:rPr>
          <w:rFonts w:ascii="Arial" w:hAnsi="Arial" w:cs="Arial"/>
          <w:bCs/>
        </w:rPr>
        <w:t xml:space="preserve">Die Analysen von Holzenergie Schweiz ergeben ein heute zusätzlich nutzbares Wald-, Landschafts- und Altholzpotenzial von 1,28 Millionen Kubikmeter. </w:t>
      </w:r>
      <w:r w:rsidR="000142AF">
        <w:rPr>
          <w:rFonts w:ascii="Arial" w:hAnsi="Arial" w:cs="Arial"/>
          <w:bCs/>
        </w:rPr>
        <w:t xml:space="preserve">Dies entspricht noch etwa 20 Prozent des gesamten sinnvoll nutzbaren Potenzials. </w:t>
      </w:r>
      <w:r w:rsidRPr="008C0CFB">
        <w:rPr>
          <w:rFonts w:ascii="Arial" w:hAnsi="Arial" w:cs="Arial"/>
          <w:bCs/>
        </w:rPr>
        <w:t>Mittel- und langfristig lässt sich mit Effizienzsteigerungen und Optimierungen der bestehenden Holz</w:t>
      </w:r>
      <w:r w:rsidR="000142AF">
        <w:rPr>
          <w:rFonts w:ascii="Arial" w:hAnsi="Arial" w:cs="Arial"/>
          <w:bCs/>
        </w:rPr>
        <w:t>heizungen</w:t>
      </w:r>
      <w:r w:rsidRPr="008C0CFB">
        <w:rPr>
          <w:rFonts w:ascii="Arial" w:hAnsi="Arial" w:cs="Arial"/>
          <w:bCs/>
        </w:rPr>
        <w:t xml:space="preserve"> und Nahwärmenetze deren Holzverbrauch um 10 bis 15 Prozent vermindern, was etwa 0,3 bis 0,5 Millionen Kubikmeter für zusätzliche Anwendungen «freispielen» würde. </w:t>
      </w:r>
      <w:r w:rsidR="00B263E2" w:rsidRPr="008C0CFB">
        <w:rPr>
          <w:rFonts w:ascii="Arial" w:hAnsi="Arial" w:cs="Arial"/>
          <w:bCs/>
        </w:rPr>
        <w:t xml:space="preserve">Die intelligente Integration zusätzlicher Energiequellen wie Photovoltaik/Wärmepumpen oder thermische Solaranlagen in bestehende Anlagen könnten den Holzverbrauch – vor allem im Sommerhalbjahr – </w:t>
      </w:r>
      <w:r w:rsidR="00A3354A" w:rsidRPr="008C0CFB">
        <w:rPr>
          <w:rFonts w:ascii="Arial" w:hAnsi="Arial" w:cs="Arial"/>
          <w:bCs/>
        </w:rPr>
        <w:t>zusätzlich</w:t>
      </w:r>
      <w:r w:rsidR="00B263E2" w:rsidRPr="008C0CFB">
        <w:rPr>
          <w:rFonts w:ascii="Arial" w:hAnsi="Arial" w:cs="Arial"/>
          <w:bCs/>
        </w:rPr>
        <w:t xml:space="preserve"> senken, </w:t>
      </w:r>
      <w:r w:rsidR="00A3354A" w:rsidRPr="008C0CFB">
        <w:rPr>
          <w:rFonts w:ascii="Arial" w:hAnsi="Arial" w:cs="Arial"/>
          <w:bCs/>
        </w:rPr>
        <w:t>vielleicht</w:t>
      </w:r>
      <w:r w:rsidR="00B263E2" w:rsidRPr="008C0CFB">
        <w:rPr>
          <w:rFonts w:ascii="Arial" w:hAnsi="Arial" w:cs="Arial"/>
          <w:bCs/>
        </w:rPr>
        <w:t xml:space="preserve"> um 0,5 Millionen Kubikmeter. </w:t>
      </w:r>
      <w:r w:rsidR="00A3354A" w:rsidRPr="008C0CFB">
        <w:rPr>
          <w:rFonts w:ascii="Arial" w:hAnsi="Arial" w:cs="Arial"/>
          <w:bCs/>
        </w:rPr>
        <w:t xml:space="preserve">Dadurch steigt das für zusätzliche Heizungen nutzbare Potential auf </w:t>
      </w:r>
      <w:r w:rsidR="006C3352">
        <w:rPr>
          <w:rFonts w:ascii="Arial" w:hAnsi="Arial" w:cs="Arial"/>
          <w:bCs/>
        </w:rPr>
        <w:t>gut</w:t>
      </w:r>
      <w:r w:rsidR="00A3354A" w:rsidRPr="008C0CFB">
        <w:rPr>
          <w:rFonts w:ascii="Arial" w:hAnsi="Arial" w:cs="Arial"/>
          <w:bCs/>
        </w:rPr>
        <w:t xml:space="preserve"> 2 Millionen Kubikmeter.</w:t>
      </w:r>
      <w:r w:rsidR="00B263E2" w:rsidRPr="008C0CFB">
        <w:rPr>
          <w:rFonts w:ascii="Arial" w:hAnsi="Arial" w:cs="Arial"/>
          <w:bCs/>
        </w:rPr>
        <w:t xml:space="preserve"> </w:t>
      </w:r>
      <w:r w:rsidR="008C0CFB" w:rsidRPr="008C0CFB">
        <w:rPr>
          <w:rFonts w:ascii="Arial" w:hAnsi="Arial" w:cs="Arial"/>
          <w:bCs/>
        </w:rPr>
        <w:t>Verbrauchsmindernd wird sich auch die Klimaerhitzung auswirken, wobei quantitative Aussagen hierzu schwierig sind.</w:t>
      </w:r>
    </w:p>
    <w:p w14:paraId="58B78745" w14:textId="77777777" w:rsidR="008C0CFB" w:rsidRPr="008C0CFB" w:rsidRDefault="008C0CFB" w:rsidP="00CA3912">
      <w:pPr>
        <w:spacing w:after="0"/>
        <w:rPr>
          <w:rFonts w:ascii="Arial" w:hAnsi="Arial" w:cs="Arial"/>
          <w:bCs/>
        </w:rPr>
      </w:pPr>
    </w:p>
    <w:p w14:paraId="492A1489" w14:textId="385B0C13" w:rsidR="00CA3912" w:rsidRPr="008C0CFB" w:rsidRDefault="008C0CFB" w:rsidP="00CA3912">
      <w:pPr>
        <w:spacing w:after="0"/>
        <w:rPr>
          <w:rFonts w:ascii="Arial" w:hAnsi="Arial" w:cs="Arial"/>
          <w:bCs/>
        </w:rPr>
      </w:pPr>
      <w:r w:rsidRPr="008C0CFB">
        <w:rPr>
          <w:rFonts w:ascii="Arial" w:hAnsi="Arial" w:cs="Arial"/>
          <w:b/>
        </w:rPr>
        <w:t xml:space="preserve">Prioritäten </w:t>
      </w:r>
      <w:r>
        <w:rPr>
          <w:rFonts w:ascii="Arial" w:hAnsi="Arial" w:cs="Arial"/>
          <w:b/>
        </w:rPr>
        <w:t xml:space="preserve">der Nutzung </w:t>
      </w:r>
      <w:r w:rsidRPr="008C0CFB">
        <w:rPr>
          <w:rFonts w:ascii="Arial" w:hAnsi="Arial" w:cs="Arial"/>
          <w:b/>
        </w:rPr>
        <w:t>richtig setzen</w:t>
      </w:r>
    </w:p>
    <w:p w14:paraId="448E38CC" w14:textId="77777777" w:rsidR="008C0CFB" w:rsidRDefault="008C0CFB" w:rsidP="00CA3912">
      <w:pPr>
        <w:spacing w:after="0"/>
        <w:rPr>
          <w:rFonts w:ascii="Arial" w:hAnsi="Arial" w:cs="Arial"/>
          <w:bCs/>
        </w:rPr>
      </w:pPr>
    </w:p>
    <w:p w14:paraId="0EFFFC25" w14:textId="32AE4A55" w:rsidR="00731C26" w:rsidRPr="008C0CFB" w:rsidRDefault="00E63A03" w:rsidP="00CA3912">
      <w:pPr>
        <w:spacing w:after="0"/>
        <w:rPr>
          <w:rFonts w:ascii="Arial" w:hAnsi="Arial" w:cs="Arial"/>
          <w:b/>
        </w:rPr>
      </w:pPr>
      <w:r>
        <w:rPr>
          <w:rFonts w:ascii="Arial" w:hAnsi="Arial" w:cs="Arial"/>
          <w:bCs/>
        </w:rPr>
        <w:t>Für das verbleibende Potenzial sind</w:t>
      </w:r>
      <w:r w:rsidR="00A3354A" w:rsidRPr="008C0CFB">
        <w:rPr>
          <w:rFonts w:ascii="Arial" w:hAnsi="Arial" w:cs="Arial"/>
          <w:bCs/>
        </w:rPr>
        <w:t xml:space="preserve"> die</w:t>
      </w:r>
      <w:r w:rsidR="00C10EAD" w:rsidRPr="008C0CFB">
        <w:rPr>
          <w:rFonts w:ascii="Arial" w:hAnsi="Arial" w:cs="Arial"/>
          <w:bCs/>
        </w:rPr>
        <w:t xml:space="preserve"> Absatzkanäle </w:t>
      </w:r>
      <w:r>
        <w:rPr>
          <w:rFonts w:ascii="Arial" w:hAnsi="Arial" w:cs="Arial"/>
          <w:bCs/>
        </w:rPr>
        <w:t xml:space="preserve">sinnvoll zu </w:t>
      </w:r>
      <w:r w:rsidR="00656E86" w:rsidRPr="008C0CFB">
        <w:rPr>
          <w:rFonts w:ascii="Arial" w:hAnsi="Arial" w:cs="Arial"/>
          <w:bCs/>
        </w:rPr>
        <w:t xml:space="preserve">priorisieren. </w:t>
      </w:r>
      <w:r w:rsidR="002E16F1" w:rsidRPr="008C0CFB">
        <w:rPr>
          <w:rFonts w:ascii="Arial" w:hAnsi="Arial" w:cs="Arial"/>
          <w:bCs/>
        </w:rPr>
        <w:t xml:space="preserve">Erste Priorität </w:t>
      </w:r>
      <w:r w:rsidR="00A13C0E" w:rsidRPr="008C0CFB">
        <w:rPr>
          <w:rFonts w:ascii="Arial" w:hAnsi="Arial" w:cs="Arial"/>
          <w:bCs/>
        </w:rPr>
        <w:t>hat</w:t>
      </w:r>
      <w:r w:rsidR="002E16F1" w:rsidRPr="008C0CFB">
        <w:rPr>
          <w:rFonts w:ascii="Arial" w:hAnsi="Arial" w:cs="Arial"/>
          <w:bCs/>
        </w:rPr>
        <w:t xml:space="preserve"> die dezentrale</w:t>
      </w:r>
      <w:r w:rsidR="00CA3912" w:rsidRPr="008C0CFB">
        <w:rPr>
          <w:rFonts w:ascii="Arial" w:hAnsi="Arial" w:cs="Arial"/>
          <w:bCs/>
        </w:rPr>
        <w:t xml:space="preserve"> </w:t>
      </w:r>
      <w:r w:rsidR="002E16F1" w:rsidRPr="008C0CFB">
        <w:rPr>
          <w:rFonts w:ascii="Arial" w:hAnsi="Arial" w:cs="Arial"/>
          <w:bCs/>
        </w:rPr>
        <w:t>Nutzung</w:t>
      </w:r>
      <w:r w:rsidR="00CA3912" w:rsidRPr="008C0CFB">
        <w:rPr>
          <w:rFonts w:ascii="Arial" w:hAnsi="Arial" w:cs="Arial"/>
          <w:bCs/>
        </w:rPr>
        <w:t>. S</w:t>
      </w:r>
      <w:r w:rsidR="002E16F1" w:rsidRPr="008C0CFB">
        <w:rPr>
          <w:rFonts w:ascii="Arial" w:hAnsi="Arial" w:cs="Arial"/>
          <w:bCs/>
        </w:rPr>
        <w:t>ehr grosse Anlagen (mehr als 10</w:t>
      </w:r>
      <w:r w:rsidR="00731C26" w:rsidRPr="008C0CFB">
        <w:rPr>
          <w:rFonts w:ascii="Arial" w:hAnsi="Arial" w:cs="Arial"/>
          <w:bCs/>
        </w:rPr>
        <w:t xml:space="preserve"> Megawatt </w:t>
      </w:r>
      <w:r w:rsidR="002E16F1" w:rsidRPr="008C0CFB">
        <w:rPr>
          <w:rFonts w:ascii="Arial" w:hAnsi="Arial" w:cs="Arial"/>
          <w:bCs/>
        </w:rPr>
        <w:t xml:space="preserve">Leistung) </w:t>
      </w:r>
      <w:r w:rsidR="00CA3912" w:rsidRPr="008C0CFB">
        <w:rPr>
          <w:rFonts w:ascii="Arial" w:hAnsi="Arial" w:cs="Arial"/>
          <w:bCs/>
        </w:rPr>
        <w:t>sind zu vermeiden, da sie lange Holztransportwege verursachen und</w:t>
      </w:r>
      <w:r w:rsidR="002E16F1" w:rsidRPr="008C0CFB">
        <w:rPr>
          <w:rFonts w:ascii="Arial" w:hAnsi="Arial" w:cs="Arial"/>
          <w:bCs/>
        </w:rPr>
        <w:t xml:space="preserve"> «Klumpenrisiken» </w:t>
      </w:r>
      <w:r w:rsidR="00A3354A" w:rsidRPr="008C0CFB">
        <w:rPr>
          <w:rFonts w:ascii="Arial" w:hAnsi="Arial" w:cs="Arial"/>
          <w:bCs/>
        </w:rPr>
        <w:t>darstellen</w:t>
      </w:r>
      <w:r w:rsidR="002E16F1" w:rsidRPr="008C0CFB">
        <w:rPr>
          <w:rFonts w:ascii="Arial" w:hAnsi="Arial" w:cs="Arial"/>
          <w:bCs/>
        </w:rPr>
        <w:t xml:space="preserve">. </w:t>
      </w:r>
      <w:r w:rsidR="00CA3912" w:rsidRPr="008C0CFB">
        <w:rPr>
          <w:rFonts w:ascii="Arial" w:hAnsi="Arial" w:cs="Arial"/>
          <w:bCs/>
        </w:rPr>
        <w:t>Pelletheizungen sollten eine Leistung von 1'000 kW nicht übersteigen. Die Herstellung von Pellets direkt aus Waldholz hat nur 2. Priorität.</w:t>
      </w:r>
    </w:p>
    <w:p w14:paraId="6ECABB38" w14:textId="77777777" w:rsidR="005831E2" w:rsidRPr="008C0CFB" w:rsidRDefault="005831E2" w:rsidP="00D03A0E">
      <w:pPr>
        <w:spacing w:after="0"/>
        <w:rPr>
          <w:rFonts w:ascii="Arial" w:hAnsi="Arial" w:cs="Arial"/>
          <w:bCs/>
        </w:rPr>
      </w:pPr>
    </w:p>
    <w:p w14:paraId="0CD72AD7" w14:textId="7F3129C4" w:rsidR="00D3749E" w:rsidRPr="008C0CFB" w:rsidRDefault="00D3749E" w:rsidP="00D03A0E">
      <w:pPr>
        <w:spacing w:after="0"/>
        <w:rPr>
          <w:rFonts w:ascii="Arial" w:hAnsi="Arial" w:cs="Arial"/>
          <w:bCs/>
        </w:rPr>
      </w:pPr>
      <w:r w:rsidRPr="008C0CFB">
        <w:rPr>
          <w:rFonts w:ascii="Arial" w:hAnsi="Arial" w:cs="Arial"/>
          <w:bCs/>
        </w:rPr>
        <w:t>Holzenergie Schweiz sammelt</w:t>
      </w:r>
      <w:r w:rsidR="00A3354A" w:rsidRPr="008C0CFB">
        <w:rPr>
          <w:rFonts w:ascii="Arial" w:hAnsi="Arial" w:cs="Arial"/>
          <w:bCs/>
        </w:rPr>
        <w:t>e</w:t>
      </w:r>
      <w:r w:rsidRPr="008C0CFB">
        <w:rPr>
          <w:rFonts w:ascii="Arial" w:hAnsi="Arial" w:cs="Arial"/>
          <w:bCs/>
        </w:rPr>
        <w:t xml:space="preserve"> im ganzen Land Informationen zu Projekten, die bereits konkret geplant sind oder erst als Ideen «herumschwirren». Daraus resultieren grosse künftige Holzverbräuche. Bekannt sind konkrete Projekte, die </w:t>
      </w:r>
      <w:r w:rsidR="00A3354A" w:rsidRPr="008C0CFB">
        <w:rPr>
          <w:rFonts w:ascii="Arial" w:hAnsi="Arial" w:cs="Arial"/>
          <w:bCs/>
        </w:rPr>
        <w:t>knapp 1 Million</w:t>
      </w:r>
      <w:r w:rsidRPr="008C0CFB">
        <w:rPr>
          <w:rFonts w:ascii="Arial" w:hAnsi="Arial" w:cs="Arial"/>
          <w:bCs/>
        </w:rPr>
        <w:t xml:space="preserve"> Kubikmeter Energieholz pro Jahr verbrauchen werden. </w:t>
      </w:r>
      <w:r w:rsidR="00C967FD" w:rsidRPr="008C0CFB">
        <w:rPr>
          <w:rFonts w:ascii="Arial" w:hAnsi="Arial" w:cs="Arial"/>
          <w:bCs/>
        </w:rPr>
        <w:t>Projekte, die erst auf «Ideenstufe» sind,</w:t>
      </w:r>
      <w:r w:rsidRPr="008C0CFB">
        <w:rPr>
          <w:rFonts w:ascii="Arial" w:hAnsi="Arial" w:cs="Arial"/>
          <w:bCs/>
        </w:rPr>
        <w:t xml:space="preserve"> </w:t>
      </w:r>
      <w:r w:rsidR="00F01275" w:rsidRPr="008C0CFB">
        <w:rPr>
          <w:rFonts w:ascii="Arial" w:hAnsi="Arial" w:cs="Arial"/>
          <w:bCs/>
        </w:rPr>
        <w:t>bräuchten zusätzlich</w:t>
      </w:r>
      <w:r w:rsidRPr="008C0CFB">
        <w:rPr>
          <w:rFonts w:ascii="Arial" w:hAnsi="Arial" w:cs="Arial"/>
          <w:bCs/>
        </w:rPr>
        <w:t xml:space="preserve"> etwa </w:t>
      </w:r>
      <w:r w:rsidR="00A3354A" w:rsidRPr="008C0CFB">
        <w:rPr>
          <w:rFonts w:ascii="Arial" w:hAnsi="Arial" w:cs="Arial"/>
          <w:bCs/>
        </w:rPr>
        <w:t>90</w:t>
      </w:r>
      <w:r w:rsidRPr="008C0CFB">
        <w:rPr>
          <w:rFonts w:ascii="Arial" w:hAnsi="Arial" w:cs="Arial"/>
          <w:bCs/>
        </w:rPr>
        <w:t>0'000 Kubikmeter.</w:t>
      </w:r>
      <w:r w:rsidR="00225C0E" w:rsidRPr="008C0CFB">
        <w:rPr>
          <w:rFonts w:ascii="Arial" w:hAnsi="Arial" w:cs="Arial"/>
          <w:bCs/>
        </w:rPr>
        <w:t xml:space="preserve"> </w:t>
      </w:r>
      <w:r w:rsidR="00694735" w:rsidRPr="008C0CFB">
        <w:rPr>
          <w:rFonts w:ascii="Arial" w:hAnsi="Arial" w:cs="Arial"/>
          <w:bCs/>
        </w:rPr>
        <w:t>Das verfügbare Potenzial erlaubt die Realisierung aller</w:t>
      </w:r>
      <w:r w:rsidR="00225C0E" w:rsidRPr="008C0CFB">
        <w:rPr>
          <w:rFonts w:ascii="Arial" w:hAnsi="Arial" w:cs="Arial"/>
          <w:bCs/>
        </w:rPr>
        <w:t xml:space="preserve"> </w:t>
      </w:r>
      <w:r w:rsidR="00694735" w:rsidRPr="008C0CFB">
        <w:rPr>
          <w:rFonts w:ascii="Arial" w:hAnsi="Arial" w:cs="Arial"/>
          <w:bCs/>
        </w:rPr>
        <w:t xml:space="preserve">konkret geplanten </w:t>
      </w:r>
      <w:r w:rsidR="00225C0E" w:rsidRPr="008C0CFB">
        <w:rPr>
          <w:rFonts w:ascii="Arial" w:hAnsi="Arial" w:cs="Arial"/>
          <w:bCs/>
        </w:rPr>
        <w:t xml:space="preserve">Projekte </w:t>
      </w:r>
      <w:r w:rsidR="00694735" w:rsidRPr="008C0CFB">
        <w:rPr>
          <w:rFonts w:ascii="Arial" w:hAnsi="Arial" w:cs="Arial"/>
          <w:bCs/>
        </w:rPr>
        <w:t xml:space="preserve">sowie der Projektideen. Es hat also noch Luft nach oben, ohne die stoffliche Holzverwertung zu konkurrenzieren oder den Wald zu übernutzen. </w:t>
      </w:r>
    </w:p>
    <w:p w14:paraId="50AEDC7D" w14:textId="77777777" w:rsidR="00225C0E" w:rsidRPr="008C0CFB" w:rsidRDefault="00225C0E" w:rsidP="00D03A0E">
      <w:pPr>
        <w:spacing w:after="0"/>
        <w:rPr>
          <w:rFonts w:ascii="Arial" w:hAnsi="Arial" w:cs="Arial"/>
          <w:bCs/>
        </w:rPr>
      </w:pPr>
    </w:p>
    <w:p w14:paraId="7D18279F" w14:textId="73366DBC" w:rsidR="00D3749E" w:rsidRPr="008C0CFB" w:rsidRDefault="00694735" w:rsidP="00D03A0E">
      <w:pPr>
        <w:spacing w:after="0"/>
        <w:rPr>
          <w:rFonts w:ascii="Arial" w:hAnsi="Arial" w:cs="Arial"/>
          <w:bCs/>
        </w:rPr>
      </w:pPr>
      <w:r w:rsidRPr="008C0CFB">
        <w:rPr>
          <w:rFonts w:ascii="Arial" w:hAnsi="Arial" w:cs="Arial"/>
          <w:bCs/>
        </w:rPr>
        <w:t>Damit die vollständige Nutzung des vorhandenen Potenzials in geordneten Bahnen verläuft,</w:t>
      </w:r>
      <w:r w:rsidR="00D3749E" w:rsidRPr="008C0CFB">
        <w:rPr>
          <w:rFonts w:ascii="Arial" w:hAnsi="Arial" w:cs="Arial"/>
          <w:bCs/>
        </w:rPr>
        <w:t xml:space="preserve"> ist </w:t>
      </w:r>
      <w:r w:rsidR="00A3354A" w:rsidRPr="008C0CFB">
        <w:rPr>
          <w:rFonts w:ascii="Arial" w:hAnsi="Arial" w:cs="Arial"/>
          <w:bCs/>
        </w:rPr>
        <w:t>ein periodisches</w:t>
      </w:r>
      <w:r w:rsidR="00D3749E" w:rsidRPr="008C0CFB">
        <w:rPr>
          <w:rFonts w:ascii="Arial" w:hAnsi="Arial" w:cs="Arial"/>
          <w:bCs/>
        </w:rPr>
        <w:t xml:space="preserve"> nationale</w:t>
      </w:r>
      <w:r w:rsidR="00A3354A" w:rsidRPr="008C0CFB">
        <w:rPr>
          <w:rFonts w:ascii="Arial" w:hAnsi="Arial" w:cs="Arial"/>
          <w:bCs/>
        </w:rPr>
        <w:t>s</w:t>
      </w:r>
      <w:r w:rsidR="00D3749E" w:rsidRPr="008C0CFB">
        <w:rPr>
          <w:rFonts w:ascii="Arial" w:hAnsi="Arial" w:cs="Arial"/>
          <w:bCs/>
        </w:rPr>
        <w:t xml:space="preserve"> </w:t>
      </w:r>
      <w:r w:rsidR="00A3354A" w:rsidRPr="008C0CFB">
        <w:rPr>
          <w:rFonts w:ascii="Arial" w:hAnsi="Arial" w:cs="Arial"/>
          <w:bCs/>
        </w:rPr>
        <w:t>Holzenergie-</w:t>
      </w:r>
      <w:r w:rsidR="00D3749E" w:rsidRPr="008C0CFB">
        <w:rPr>
          <w:rFonts w:ascii="Arial" w:hAnsi="Arial" w:cs="Arial"/>
          <w:bCs/>
        </w:rPr>
        <w:t>Monitoring ein Gebot der Stunde</w:t>
      </w:r>
      <w:r w:rsidR="000E4663" w:rsidRPr="008C0CFB">
        <w:rPr>
          <w:rFonts w:ascii="Arial" w:hAnsi="Arial" w:cs="Arial"/>
          <w:bCs/>
        </w:rPr>
        <w:t xml:space="preserve">. Denn das </w:t>
      </w:r>
      <w:r w:rsidR="000E4663" w:rsidRPr="008C0CFB">
        <w:rPr>
          <w:rFonts w:ascii="Arial" w:hAnsi="Arial" w:cs="Arial"/>
          <w:bCs/>
        </w:rPr>
        <w:lastRenderedPageBreak/>
        <w:t>Gesetz der Nachhaltigkeit und die stoffliche Nutzung des Holzes als langfristige</w:t>
      </w:r>
      <w:r w:rsidR="0000257E" w:rsidRPr="008C0CFB">
        <w:rPr>
          <w:rFonts w:ascii="Arial" w:hAnsi="Arial" w:cs="Arial"/>
          <w:bCs/>
        </w:rPr>
        <w:t>r</w:t>
      </w:r>
      <w:r w:rsidR="000E4663" w:rsidRPr="008C0CFB">
        <w:rPr>
          <w:rFonts w:ascii="Arial" w:hAnsi="Arial" w:cs="Arial"/>
          <w:bCs/>
        </w:rPr>
        <w:t xml:space="preserve"> CO</w:t>
      </w:r>
      <w:r w:rsidR="000E4663" w:rsidRPr="008C0CFB">
        <w:rPr>
          <w:rFonts w:ascii="Arial" w:hAnsi="Arial" w:cs="Arial"/>
          <w:bCs/>
          <w:vertAlign w:val="subscript"/>
        </w:rPr>
        <w:t>2</w:t>
      </w:r>
      <w:r w:rsidR="000E4663" w:rsidRPr="008C0CFB">
        <w:rPr>
          <w:rFonts w:ascii="Arial" w:hAnsi="Arial" w:cs="Arial"/>
          <w:bCs/>
        </w:rPr>
        <w:t xml:space="preserve">-Speicher </w:t>
      </w:r>
      <w:r w:rsidR="006C3352">
        <w:rPr>
          <w:rFonts w:ascii="Arial" w:hAnsi="Arial" w:cs="Arial"/>
          <w:bCs/>
        </w:rPr>
        <w:t xml:space="preserve">sind zu </w:t>
      </w:r>
      <w:r w:rsidR="000E4663" w:rsidRPr="008C0CFB">
        <w:rPr>
          <w:rFonts w:ascii="Arial" w:hAnsi="Arial" w:cs="Arial"/>
          <w:bCs/>
        </w:rPr>
        <w:t>respektieren.</w:t>
      </w:r>
      <w:r w:rsidR="00F01275" w:rsidRPr="008C0CFB">
        <w:rPr>
          <w:rFonts w:ascii="Arial" w:hAnsi="Arial" w:cs="Arial"/>
          <w:bCs/>
        </w:rPr>
        <w:t xml:space="preserve"> </w:t>
      </w:r>
      <w:r w:rsidR="004566B0" w:rsidRPr="008C0CFB">
        <w:rPr>
          <w:rFonts w:ascii="Arial" w:hAnsi="Arial" w:cs="Arial"/>
          <w:bCs/>
        </w:rPr>
        <w:t>Ebenso sind künftige Importe im grossen Stil kritisch zu hinterfragen</w:t>
      </w:r>
      <w:r w:rsidR="00A3354A" w:rsidRPr="008C0CFB">
        <w:rPr>
          <w:rFonts w:ascii="Arial" w:hAnsi="Arial" w:cs="Arial"/>
          <w:bCs/>
        </w:rPr>
        <w:t>, da andere Länder ihr Holz selber brauchen werden</w:t>
      </w:r>
      <w:r w:rsidR="004566B0" w:rsidRPr="008C0CFB">
        <w:rPr>
          <w:rFonts w:ascii="Arial" w:hAnsi="Arial" w:cs="Arial"/>
          <w:bCs/>
        </w:rPr>
        <w:t xml:space="preserve">. </w:t>
      </w:r>
      <w:r w:rsidR="00F01275" w:rsidRPr="008C0CFB">
        <w:rPr>
          <w:rFonts w:ascii="Arial" w:hAnsi="Arial" w:cs="Arial"/>
          <w:bCs/>
        </w:rPr>
        <w:t xml:space="preserve">Das Monitoring Holzenergie kann einen wichtigen Beitrag zu einer effizienten Nutzung der Holzenergie leisten und Impulse für </w:t>
      </w:r>
      <w:r w:rsidR="008C0CFB" w:rsidRPr="008C0CFB">
        <w:rPr>
          <w:rFonts w:ascii="Arial" w:hAnsi="Arial" w:cs="Arial"/>
          <w:bCs/>
        </w:rPr>
        <w:t xml:space="preserve">oder gegen </w:t>
      </w:r>
      <w:r w:rsidR="004566B0" w:rsidRPr="008C0CFB">
        <w:rPr>
          <w:rFonts w:ascii="Arial" w:hAnsi="Arial" w:cs="Arial"/>
          <w:bCs/>
        </w:rPr>
        <w:t>neuartige</w:t>
      </w:r>
      <w:r w:rsidR="00F01275" w:rsidRPr="008C0CFB">
        <w:rPr>
          <w:rFonts w:ascii="Arial" w:hAnsi="Arial" w:cs="Arial"/>
          <w:bCs/>
        </w:rPr>
        <w:t xml:space="preserve"> Verwendungen liefern. Dazu gehören die Produktion von Prozesswärme und Strom, </w:t>
      </w:r>
      <w:r w:rsidR="00A3354A" w:rsidRPr="008C0CFB">
        <w:rPr>
          <w:rFonts w:ascii="Arial" w:hAnsi="Arial" w:cs="Arial"/>
          <w:bCs/>
        </w:rPr>
        <w:t xml:space="preserve">vielleicht auch </w:t>
      </w:r>
      <w:r w:rsidR="00F01275" w:rsidRPr="008C0CFB">
        <w:rPr>
          <w:rFonts w:ascii="Arial" w:hAnsi="Arial" w:cs="Arial"/>
          <w:bCs/>
        </w:rPr>
        <w:t>die Herstellung von Pflanzenkohle sowie langfristig die Produktion von Wasserstoff aus Holz.</w:t>
      </w:r>
      <w:r w:rsidR="004566B0" w:rsidRPr="008C0CFB">
        <w:rPr>
          <w:rFonts w:ascii="Arial" w:hAnsi="Arial" w:cs="Arial"/>
          <w:bCs/>
        </w:rPr>
        <w:t xml:space="preserve"> </w:t>
      </w:r>
    </w:p>
    <w:p w14:paraId="03B32085" w14:textId="77777777" w:rsidR="00EE76CA" w:rsidRPr="008C0CFB" w:rsidRDefault="00EE76CA" w:rsidP="00D03A0E">
      <w:pPr>
        <w:spacing w:after="0"/>
        <w:rPr>
          <w:rFonts w:ascii="Arial" w:hAnsi="Arial" w:cs="Arial"/>
          <w:bCs/>
        </w:rPr>
      </w:pPr>
    </w:p>
    <w:p w14:paraId="3D70CDF7" w14:textId="77777777" w:rsidR="008D4630" w:rsidRPr="008C0CFB" w:rsidRDefault="008D4630" w:rsidP="009E06BE">
      <w:pPr>
        <w:spacing w:after="0"/>
        <w:rPr>
          <w:rFonts w:ascii="Arial" w:hAnsi="Arial" w:cs="Arial"/>
          <w:bCs/>
        </w:rPr>
      </w:pPr>
    </w:p>
    <w:p w14:paraId="6F9F65D7" w14:textId="77777777" w:rsidR="006F21B2" w:rsidRPr="008C0CFB"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8C0CFB">
        <w:rPr>
          <w:rFonts w:ascii="Arial" w:hAnsi="Arial" w:cs="Arial"/>
          <w:b/>
        </w:rPr>
        <w:t>Über Holzenergie Schweiz</w:t>
      </w:r>
    </w:p>
    <w:p w14:paraId="5112DE25" w14:textId="77777777" w:rsidR="006F21B2" w:rsidRPr="008C0CFB"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8C0CFB">
        <w:rPr>
          <w:rFonts w:ascii="Arial" w:hAnsi="Arial" w:cs="Arial"/>
        </w:rPr>
        <w:t>Der Branchenverband Holzenergie Schweiz betreibt seit 1979 einen professionellen Informations- und Beratungsdienst und setzt sich bei Behörden und Entscheidungsträgern für eine vermehrte Nutzung der „Wärme aus dem Wald“ ein. www.holzenergie.ch</w:t>
      </w:r>
    </w:p>
    <w:p w14:paraId="24CAA19F" w14:textId="77777777" w:rsidR="00833DB0" w:rsidRPr="008C0CFB" w:rsidRDefault="00833DB0" w:rsidP="00833DB0">
      <w:pPr>
        <w:spacing w:after="0" w:line="240" w:lineRule="auto"/>
        <w:rPr>
          <w:rFonts w:ascii="Arial" w:hAnsi="Arial" w:cs="Arial"/>
          <w:i/>
          <w:sz w:val="20"/>
        </w:rPr>
      </w:pPr>
    </w:p>
    <w:p w14:paraId="14004686" w14:textId="1B1F8F56" w:rsidR="00833DB0" w:rsidRPr="008C0CFB" w:rsidRDefault="00833DB0" w:rsidP="00833DB0">
      <w:pPr>
        <w:spacing w:after="0" w:line="240" w:lineRule="auto"/>
        <w:rPr>
          <w:rFonts w:ascii="Arial" w:hAnsi="Arial" w:cs="Arial"/>
          <w:i/>
          <w:sz w:val="20"/>
        </w:rPr>
      </w:pPr>
      <w:r w:rsidRPr="008C0CFB">
        <w:rPr>
          <w:rFonts w:ascii="Arial" w:hAnsi="Arial" w:cs="Arial"/>
          <w:i/>
          <w:sz w:val="20"/>
        </w:rPr>
        <w:t>Autor:</w:t>
      </w:r>
    </w:p>
    <w:p w14:paraId="699E473D" w14:textId="7A3E7C54" w:rsidR="00833DB0" w:rsidRPr="008C0CFB" w:rsidRDefault="00833DB0" w:rsidP="00833DB0">
      <w:pPr>
        <w:spacing w:after="0" w:line="240" w:lineRule="auto"/>
        <w:rPr>
          <w:rFonts w:ascii="Arial" w:hAnsi="Arial" w:cs="Arial"/>
          <w:i/>
          <w:sz w:val="20"/>
        </w:rPr>
      </w:pPr>
      <w:r w:rsidRPr="008C0CFB">
        <w:rPr>
          <w:rFonts w:ascii="Arial" w:hAnsi="Arial" w:cs="Arial"/>
          <w:i/>
          <w:sz w:val="20"/>
        </w:rPr>
        <w:t>Christoph Rutschmann</w:t>
      </w:r>
    </w:p>
    <w:p w14:paraId="781FD0B7"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Im Auftrag von Holzenergie Schweiz</w:t>
      </w:r>
    </w:p>
    <w:p w14:paraId="7796E959"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Neugasse 10</w:t>
      </w:r>
    </w:p>
    <w:p w14:paraId="7382F8AF"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8005 Zürich</w:t>
      </w:r>
    </w:p>
    <w:p w14:paraId="028B4D6F" w14:textId="5AF96CC8" w:rsidR="00833DB0" w:rsidRPr="008C0CFB" w:rsidRDefault="005129B2" w:rsidP="00833DB0">
      <w:pPr>
        <w:spacing w:after="0" w:line="240" w:lineRule="auto"/>
        <w:rPr>
          <w:rFonts w:ascii="Arial" w:hAnsi="Arial" w:cs="Arial"/>
          <w:i/>
          <w:sz w:val="20"/>
        </w:rPr>
      </w:pPr>
      <w:r w:rsidRPr="008C0CFB">
        <w:rPr>
          <w:rFonts w:ascii="Arial" w:hAnsi="Arial" w:cs="Arial"/>
          <w:i/>
          <w:sz w:val="20"/>
        </w:rPr>
        <w:t>Tel</w:t>
      </w:r>
      <w:r w:rsidR="00833DB0" w:rsidRPr="008C0CFB">
        <w:rPr>
          <w:rFonts w:ascii="Arial" w:hAnsi="Arial" w:cs="Arial"/>
          <w:i/>
          <w:sz w:val="20"/>
        </w:rPr>
        <w:t>: 044 250 88 11</w:t>
      </w:r>
    </w:p>
    <w:p w14:paraId="3526588B"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info@holzenergie.ch</w:t>
      </w:r>
    </w:p>
    <w:p w14:paraId="5BE100CA" w14:textId="77777777" w:rsidR="006F21B2" w:rsidRPr="008C0CFB" w:rsidRDefault="006F21B2" w:rsidP="00442798">
      <w:pPr>
        <w:spacing w:after="0" w:line="240" w:lineRule="auto"/>
        <w:rPr>
          <w:rFonts w:ascii="Arial" w:hAnsi="Arial" w:cs="Arial"/>
          <w:i/>
          <w:sz w:val="20"/>
        </w:rPr>
      </w:pPr>
    </w:p>
    <w:p w14:paraId="2310A7B7" w14:textId="5FAFBFA7" w:rsidR="006F21B2" w:rsidRPr="008C0CFB" w:rsidRDefault="006F21B2" w:rsidP="00442798">
      <w:pPr>
        <w:spacing w:after="0"/>
        <w:rPr>
          <w:rFonts w:ascii="Arial" w:hAnsi="Arial" w:cs="Arial"/>
          <w:b/>
          <w:i/>
          <w:sz w:val="20"/>
        </w:rPr>
      </w:pPr>
      <w:r w:rsidRPr="008C0CFB">
        <w:rPr>
          <w:rFonts w:ascii="Arial" w:hAnsi="Arial" w:cs="Arial"/>
          <w:b/>
          <w:i/>
          <w:sz w:val="20"/>
        </w:rPr>
        <w:t>Bild</w:t>
      </w:r>
      <w:r w:rsidR="006C081B" w:rsidRPr="008C0CFB">
        <w:rPr>
          <w:rFonts w:ascii="Arial" w:hAnsi="Arial" w:cs="Arial"/>
          <w:b/>
          <w:i/>
          <w:sz w:val="20"/>
        </w:rPr>
        <w:t>er</w:t>
      </w:r>
    </w:p>
    <w:tbl>
      <w:tblPr>
        <w:tblStyle w:val="Tabellenraster"/>
        <w:tblW w:w="9606" w:type="dxa"/>
        <w:tblLook w:val="04A0" w:firstRow="1" w:lastRow="0" w:firstColumn="1" w:lastColumn="0" w:noHBand="0" w:noVBand="1"/>
      </w:tblPr>
      <w:tblGrid>
        <w:gridCol w:w="2676"/>
        <w:gridCol w:w="6930"/>
      </w:tblGrid>
      <w:tr w:rsidR="00C35C28" w:rsidRPr="008C0CFB" w14:paraId="6206EEEF" w14:textId="77777777" w:rsidTr="004C2312">
        <w:tc>
          <w:tcPr>
            <w:tcW w:w="2122" w:type="dxa"/>
          </w:tcPr>
          <w:p w14:paraId="64C3F049" w14:textId="216D0750" w:rsidR="00C35C28" w:rsidRPr="008C0CFB" w:rsidRDefault="00C35C28" w:rsidP="004C2312">
            <w:pPr>
              <w:spacing w:after="40"/>
              <w:rPr>
                <w:rFonts w:ascii="Arial" w:hAnsi="Arial" w:cs="Arial"/>
                <w:i/>
                <w:sz w:val="20"/>
              </w:rPr>
            </w:pPr>
            <w:r>
              <w:rPr>
                <w:noProof/>
              </w:rPr>
              <w:drawing>
                <wp:inline distT="0" distB="0" distL="0" distR="0" wp14:anchorId="6EBE505E" wp14:editId="74C623A6">
                  <wp:extent cx="1562519" cy="1058897"/>
                  <wp:effectExtent l="0" t="0" r="0" b="8255"/>
                  <wp:docPr id="17674735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73536" name=""/>
                          <pic:cNvPicPr/>
                        </pic:nvPicPr>
                        <pic:blipFill>
                          <a:blip r:embed="rId7"/>
                          <a:stretch>
                            <a:fillRect/>
                          </a:stretch>
                        </pic:blipFill>
                        <pic:spPr>
                          <a:xfrm>
                            <a:off x="0" y="0"/>
                            <a:ext cx="1581877" cy="1072015"/>
                          </a:xfrm>
                          <a:prstGeom prst="rect">
                            <a:avLst/>
                          </a:prstGeom>
                        </pic:spPr>
                      </pic:pic>
                    </a:graphicData>
                  </a:graphic>
                </wp:inline>
              </w:drawing>
            </w:r>
          </w:p>
        </w:tc>
        <w:tc>
          <w:tcPr>
            <w:tcW w:w="7484" w:type="dxa"/>
          </w:tcPr>
          <w:p w14:paraId="4BE5FE8E" w14:textId="77777777" w:rsidR="00C35C28" w:rsidRPr="008C0CFB" w:rsidRDefault="00C35C28" w:rsidP="004C2312">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516365DA" w14:textId="77777777" w:rsidR="00C35C28" w:rsidRPr="008C0CFB" w:rsidRDefault="00C35C28" w:rsidP="004C2312">
            <w:pPr>
              <w:spacing w:after="40"/>
              <w:rPr>
                <w:rFonts w:ascii="Arial" w:hAnsi="Arial" w:cs="Arial"/>
                <w:i/>
                <w:sz w:val="20"/>
              </w:rPr>
            </w:pPr>
          </w:p>
          <w:p w14:paraId="6D4734FC" w14:textId="0BCC7EC8" w:rsidR="00C35C28" w:rsidRPr="008C0CFB" w:rsidRDefault="00C35C28" w:rsidP="004C2312">
            <w:pPr>
              <w:spacing w:after="40"/>
              <w:rPr>
                <w:rFonts w:ascii="Arial" w:hAnsi="Arial" w:cs="Arial"/>
                <w:i/>
                <w:sz w:val="20"/>
              </w:rPr>
            </w:pPr>
            <w:r w:rsidRPr="008C0CFB">
              <w:rPr>
                <w:rFonts w:ascii="Arial" w:hAnsi="Arial" w:cs="Arial"/>
                <w:i/>
                <w:sz w:val="20"/>
              </w:rPr>
              <w:t>Monitoring Holzenergie in der Schweiz: Damit Energieholz nachhaltig und richtig genutzt wird</w:t>
            </w:r>
          </w:p>
          <w:p w14:paraId="5FC88AC0" w14:textId="77777777" w:rsidR="00C35C28" w:rsidRPr="008C0CFB" w:rsidRDefault="00C35C28" w:rsidP="004C2312">
            <w:pPr>
              <w:spacing w:after="40"/>
              <w:rPr>
                <w:rFonts w:ascii="Arial" w:hAnsi="Arial" w:cs="Arial"/>
                <w:i/>
                <w:sz w:val="20"/>
              </w:rPr>
            </w:pPr>
          </w:p>
          <w:p w14:paraId="2B7FD479" w14:textId="77777777" w:rsidR="00C35C28" w:rsidRPr="008C0CFB" w:rsidRDefault="00C35C28" w:rsidP="004C2312">
            <w:pPr>
              <w:spacing w:after="40"/>
              <w:rPr>
                <w:rFonts w:ascii="Arial" w:hAnsi="Arial" w:cs="Arial"/>
                <w:i/>
                <w:sz w:val="20"/>
              </w:rPr>
            </w:pPr>
            <w:r w:rsidRPr="008C0CFB">
              <w:rPr>
                <w:rFonts w:ascii="Arial" w:hAnsi="Arial" w:cs="Arial"/>
                <w:i/>
                <w:sz w:val="20"/>
              </w:rPr>
              <w:t>Bildquelle: Christoph Rutschmann, Holzenergie Schweiz</w:t>
            </w:r>
          </w:p>
        </w:tc>
      </w:tr>
      <w:tr w:rsidR="00C35C28" w:rsidRPr="008C0CFB" w14:paraId="26AC2172" w14:textId="77777777" w:rsidTr="00C35C28">
        <w:tc>
          <w:tcPr>
            <w:tcW w:w="2122" w:type="dxa"/>
          </w:tcPr>
          <w:p w14:paraId="3F0943E1" w14:textId="03B5FA12" w:rsidR="00C35C28" w:rsidRPr="008C0CFB" w:rsidRDefault="00C35C28" w:rsidP="004C2312">
            <w:pPr>
              <w:spacing w:after="40"/>
              <w:rPr>
                <w:rFonts w:ascii="Arial" w:hAnsi="Arial" w:cs="Arial"/>
                <w:i/>
                <w:sz w:val="20"/>
              </w:rPr>
            </w:pPr>
            <w:r>
              <w:rPr>
                <w:noProof/>
              </w:rPr>
              <w:drawing>
                <wp:inline distT="0" distB="0" distL="0" distR="0" wp14:anchorId="774729ED" wp14:editId="2EEB168A">
                  <wp:extent cx="1562100" cy="1005121"/>
                  <wp:effectExtent l="0" t="0" r="0" b="5080"/>
                  <wp:docPr id="9977348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34825" name=""/>
                          <pic:cNvPicPr/>
                        </pic:nvPicPr>
                        <pic:blipFill>
                          <a:blip r:embed="rId8"/>
                          <a:stretch>
                            <a:fillRect/>
                          </a:stretch>
                        </pic:blipFill>
                        <pic:spPr>
                          <a:xfrm>
                            <a:off x="0" y="0"/>
                            <a:ext cx="1573430" cy="1012411"/>
                          </a:xfrm>
                          <a:prstGeom prst="rect">
                            <a:avLst/>
                          </a:prstGeom>
                        </pic:spPr>
                      </pic:pic>
                    </a:graphicData>
                  </a:graphic>
                </wp:inline>
              </w:drawing>
            </w:r>
          </w:p>
        </w:tc>
        <w:tc>
          <w:tcPr>
            <w:tcW w:w="7484" w:type="dxa"/>
          </w:tcPr>
          <w:p w14:paraId="617DEEA5" w14:textId="77777777" w:rsidR="00C35C28" w:rsidRPr="008C0CFB" w:rsidRDefault="00C35C28" w:rsidP="004C2312">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37391CF7" w14:textId="77777777" w:rsidR="00C35C28" w:rsidRPr="008C0CFB" w:rsidRDefault="00C35C28" w:rsidP="004C2312">
            <w:pPr>
              <w:spacing w:after="40"/>
              <w:rPr>
                <w:rFonts w:ascii="Arial" w:hAnsi="Arial" w:cs="Arial"/>
                <w:i/>
                <w:sz w:val="20"/>
              </w:rPr>
            </w:pPr>
          </w:p>
          <w:p w14:paraId="2518EE39" w14:textId="5A8255B5" w:rsidR="00C35C28" w:rsidRPr="008C0CFB" w:rsidRDefault="00C35C28" w:rsidP="004C2312">
            <w:pPr>
              <w:spacing w:after="40"/>
              <w:rPr>
                <w:rFonts w:ascii="Arial" w:hAnsi="Arial" w:cs="Arial"/>
                <w:i/>
                <w:sz w:val="20"/>
              </w:rPr>
            </w:pPr>
            <w:r w:rsidRPr="008C0CFB">
              <w:rPr>
                <w:rFonts w:ascii="Arial" w:hAnsi="Arial" w:cs="Arial"/>
                <w:i/>
                <w:sz w:val="20"/>
              </w:rPr>
              <w:t xml:space="preserve">Monitoring Holzenergie in der Schweiz: </w:t>
            </w:r>
            <w:r>
              <w:rPr>
                <w:rFonts w:ascii="Arial" w:hAnsi="Arial" w:cs="Arial"/>
                <w:i/>
                <w:sz w:val="20"/>
              </w:rPr>
              <w:t>Versorgung ist jederzeit sichergestellt</w:t>
            </w:r>
          </w:p>
          <w:p w14:paraId="4877C6EA" w14:textId="77777777" w:rsidR="00C35C28" w:rsidRPr="008C0CFB" w:rsidRDefault="00C35C28" w:rsidP="004C2312">
            <w:pPr>
              <w:spacing w:after="40"/>
              <w:rPr>
                <w:rFonts w:ascii="Arial" w:hAnsi="Arial" w:cs="Arial"/>
                <w:i/>
                <w:sz w:val="20"/>
              </w:rPr>
            </w:pPr>
          </w:p>
          <w:p w14:paraId="3616E06A" w14:textId="77777777" w:rsidR="00C35C28" w:rsidRPr="008C0CFB" w:rsidRDefault="00C35C28" w:rsidP="004C2312">
            <w:pPr>
              <w:spacing w:after="40"/>
              <w:rPr>
                <w:rFonts w:ascii="Arial" w:hAnsi="Arial" w:cs="Arial"/>
                <w:i/>
                <w:sz w:val="20"/>
              </w:rPr>
            </w:pPr>
            <w:r w:rsidRPr="008C0CFB">
              <w:rPr>
                <w:rFonts w:ascii="Arial" w:hAnsi="Arial" w:cs="Arial"/>
                <w:i/>
                <w:sz w:val="20"/>
              </w:rPr>
              <w:t>Bildquelle: Christoph Rutschmann, Holzenergie Schweiz</w:t>
            </w:r>
          </w:p>
        </w:tc>
      </w:tr>
    </w:tbl>
    <w:p w14:paraId="1FFA91AB" w14:textId="01275681" w:rsidR="00C119D5" w:rsidRPr="008C0CFB" w:rsidRDefault="00C119D5" w:rsidP="00D34A9C">
      <w:pPr>
        <w:spacing w:after="0" w:line="240" w:lineRule="auto"/>
        <w:rPr>
          <w:rFonts w:ascii="Arial" w:hAnsi="Arial" w:cs="Arial"/>
          <w:sz w:val="20"/>
        </w:rPr>
      </w:pPr>
    </w:p>
    <w:p w14:paraId="024C00CE" w14:textId="2DB3E630" w:rsidR="00225C0E" w:rsidRPr="008C0CFB" w:rsidRDefault="00225C0E" w:rsidP="00D34A9C">
      <w:pPr>
        <w:spacing w:after="0" w:line="240" w:lineRule="auto"/>
        <w:rPr>
          <w:rFonts w:ascii="Arial" w:hAnsi="Arial" w:cs="Arial"/>
          <w:sz w:val="20"/>
        </w:rPr>
      </w:pPr>
    </w:p>
    <w:sectPr w:rsidR="00225C0E" w:rsidRPr="008C0CFB" w:rsidSect="00E94733">
      <w:headerReference w:type="default" r:id="rId9"/>
      <w:footerReference w:type="default" r:id="rId10"/>
      <w:headerReference w:type="first" r:id="rId11"/>
      <w:footerReference w:type="first" r:id="rId12"/>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AD04" w14:textId="77777777" w:rsidR="00E94733" w:rsidRDefault="00E94733" w:rsidP="006F21B2">
      <w:pPr>
        <w:spacing w:after="0" w:line="240" w:lineRule="auto"/>
      </w:pPr>
      <w:r>
        <w:separator/>
      </w:r>
    </w:p>
  </w:endnote>
  <w:endnote w:type="continuationSeparator" w:id="0">
    <w:p w14:paraId="6CD84A87" w14:textId="77777777" w:rsidR="00E94733" w:rsidRDefault="00E94733"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E651" w14:textId="77777777" w:rsidR="00E94733" w:rsidRDefault="00E94733" w:rsidP="006F21B2">
      <w:pPr>
        <w:spacing w:after="0" w:line="240" w:lineRule="auto"/>
      </w:pPr>
      <w:r>
        <w:separator/>
      </w:r>
    </w:p>
  </w:footnote>
  <w:footnote w:type="continuationSeparator" w:id="0">
    <w:p w14:paraId="1F77AFFE" w14:textId="77777777" w:rsidR="00E94733" w:rsidRDefault="00E94733"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5D679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5D6790" w:rsidRDefault="005D6790">
    <w:pPr>
      <w:pStyle w:val="Kopfzeile"/>
      <w:rPr>
        <w:spacing w:val="1"/>
        <w:sz w:val="17"/>
      </w:rPr>
    </w:pPr>
  </w:p>
  <w:p w14:paraId="54521666" w14:textId="77777777" w:rsidR="005D6790" w:rsidRDefault="005D6790">
    <w:pPr>
      <w:pStyle w:val="Kopfzeile"/>
      <w:rPr>
        <w:spacing w:val="1"/>
        <w:sz w:val="17"/>
      </w:rPr>
    </w:pPr>
  </w:p>
  <w:p w14:paraId="6C323340"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5D679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5D6790" w:rsidRPr="00CB096D" w:rsidRDefault="005D679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5D679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5D679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5D6790" w:rsidRPr="00055B72" w:rsidRDefault="005D679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4"/>
  </w:num>
  <w:num w:numId="4" w16cid:durableId="852109580">
    <w:abstractNumId w:val="5"/>
  </w:num>
  <w:num w:numId="5" w16cid:durableId="1349789751">
    <w:abstractNumId w:val="1"/>
  </w:num>
  <w:num w:numId="6" w16cid:durableId="2036417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F46"/>
    <w:rsid w:val="00010B24"/>
    <w:rsid w:val="00013E4F"/>
    <w:rsid w:val="000142AF"/>
    <w:rsid w:val="00016707"/>
    <w:rsid w:val="00021991"/>
    <w:rsid w:val="00021F94"/>
    <w:rsid w:val="0002408E"/>
    <w:rsid w:val="0002616D"/>
    <w:rsid w:val="000372D5"/>
    <w:rsid w:val="00037D09"/>
    <w:rsid w:val="00043AD1"/>
    <w:rsid w:val="00051E2A"/>
    <w:rsid w:val="00053B3F"/>
    <w:rsid w:val="000602F9"/>
    <w:rsid w:val="00063D1A"/>
    <w:rsid w:val="000664F4"/>
    <w:rsid w:val="0007368B"/>
    <w:rsid w:val="0007412D"/>
    <w:rsid w:val="00075F3B"/>
    <w:rsid w:val="000802C1"/>
    <w:rsid w:val="00085EE0"/>
    <w:rsid w:val="000913B7"/>
    <w:rsid w:val="00091BDD"/>
    <w:rsid w:val="00095307"/>
    <w:rsid w:val="00096086"/>
    <w:rsid w:val="000A1D12"/>
    <w:rsid w:val="000A2788"/>
    <w:rsid w:val="000B1BDD"/>
    <w:rsid w:val="000B2924"/>
    <w:rsid w:val="000B54C4"/>
    <w:rsid w:val="000B5C51"/>
    <w:rsid w:val="000C133B"/>
    <w:rsid w:val="000C61A8"/>
    <w:rsid w:val="000C757D"/>
    <w:rsid w:val="000D5BEA"/>
    <w:rsid w:val="000D5D3A"/>
    <w:rsid w:val="000D6D86"/>
    <w:rsid w:val="000E14AA"/>
    <w:rsid w:val="000E1B9F"/>
    <w:rsid w:val="000E302E"/>
    <w:rsid w:val="000E324A"/>
    <w:rsid w:val="000E4663"/>
    <w:rsid w:val="000E46C3"/>
    <w:rsid w:val="000E587F"/>
    <w:rsid w:val="000F1E99"/>
    <w:rsid w:val="000F3FFD"/>
    <w:rsid w:val="000F7D28"/>
    <w:rsid w:val="001030E2"/>
    <w:rsid w:val="00103AE7"/>
    <w:rsid w:val="001049EE"/>
    <w:rsid w:val="00117463"/>
    <w:rsid w:val="00120A7D"/>
    <w:rsid w:val="00120D63"/>
    <w:rsid w:val="00125B52"/>
    <w:rsid w:val="00126B03"/>
    <w:rsid w:val="00135FB3"/>
    <w:rsid w:val="00141D16"/>
    <w:rsid w:val="00151971"/>
    <w:rsid w:val="0015233D"/>
    <w:rsid w:val="001537E7"/>
    <w:rsid w:val="00157E99"/>
    <w:rsid w:val="00161DAE"/>
    <w:rsid w:val="001653F8"/>
    <w:rsid w:val="00165E5D"/>
    <w:rsid w:val="00170833"/>
    <w:rsid w:val="00173029"/>
    <w:rsid w:val="00173093"/>
    <w:rsid w:val="00176E77"/>
    <w:rsid w:val="00182053"/>
    <w:rsid w:val="001854E1"/>
    <w:rsid w:val="00186125"/>
    <w:rsid w:val="00186924"/>
    <w:rsid w:val="001903EF"/>
    <w:rsid w:val="001922FE"/>
    <w:rsid w:val="001940F9"/>
    <w:rsid w:val="00195512"/>
    <w:rsid w:val="00197A52"/>
    <w:rsid w:val="001A0FEC"/>
    <w:rsid w:val="001A11B4"/>
    <w:rsid w:val="001A20A0"/>
    <w:rsid w:val="001A3916"/>
    <w:rsid w:val="001A415E"/>
    <w:rsid w:val="001B1CC0"/>
    <w:rsid w:val="001B2423"/>
    <w:rsid w:val="001B3269"/>
    <w:rsid w:val="001B79BD"/>
    <w:rsid w:val="001C1FF3"/>
    <w:rsid w:val="001C374E"/>
    <w:rsid w:val="001C3EA0"/>
    <w:rsid w:val="001C402C"/>
    <w:rsid w:val="001C5AF8"/>
    <w:rsid w:val="001C7BDF"/>
    <w:rsid w:val="001D4B32"/>
    <w:rsid w:val="001D52B5"/>
    <w:rsid w:val="001D5931"/>
    <w:rsid w:val="001E043A"/>
    <w:rsid w:val="001E35A5"/>
    <w:rsid w:val="001E36DE"/>
    <w:rsid w:val="001E5271"/>
    <w:rsid w:val="001E6900"/>
    <w:rsid w:val="001E7B48"/>
    <w:rsid w:val="001F0D09"/>
    <w:rsid w:val="001F1BC4"/>
    <w:rsid w:val="001F1E08"/>
    <w:rsid w:val="001F2BC9"/>
    <w:rsid w:val="001F3F20"/>
    <w:rsid w:val="001F5CBF"/>
    <w:rsid w:val="001F6150"/>
    <w:rsid w:val="00201EC7"/>
    <w:rsid w:val="00206056"/>
    <w:rsid w:val="00210034"/>
    <w:rsid w:val="00211E54"/>
    <w:rsid w:val="00212D8C"/>
    <w:rsid w:val="0021316E"/>
    <w:rsid w:val="00214E56"/>
    <w:rsid w:val="002155F9"/>
    <w:rsid w:val="002235D4"/>
    <w:rsid w:val="00223DBC"/>
    <w:rsid w:val="00225C0E"/>
    <w:rsid w:val="002365D2"/>
    <w:rsid w:val="00250A6D"/>
    <w:rsid w:val="00254A13"/>
    <w:rsid w:val="002555E9"/>
    <w:rsid w:val="0027620A"/>
    <w:rsid w:val="00276653"/>
    <w:rsid w:val="002820B8"/>
    <w:rsid w:val="00283AD5"/>
    <w:rsid w:val="0028445D"/>
    <w:rsid w:val="00292C78"/>
    <w:rsid w:val="002936A3"/>
    <w:rsid w:val="00293F39"/>
    <w:rsid w:val="002A0852"/>
    <w:rsid w:val="002A0864"/>
    <w:rsid w:val="002A2D57"/>
    <w:rsid w:val="002A30E2"/>
    <w:rsid w:val="002A5496"/>
    <w:rsid w:val="002B0102"/>
    <w:rsid w:val="002B4951"/>
    <w:rsid w:val="002C00FB"/>
    <w:rsid w:val="002C2468"/>
    <w:rsid w:val="002C5C13"/>
    <w:rsid w:val="002C79D3"/>
    <w:rsid w:val="002C7C1F"/>
    <w:rsid w:val="002D1561"/>
    <w:rsid w:val="002D3393"/>
    <w:rsid w:val="002D3414"/>
    <w:rsid w:val="002D4D36"/>
    <w:rsid w:val="002D60F0"/>
    <w:rsid w:val="002D625F"/>
    <w:rsid w:val="002E16F1"/>
    <w:rsid w:val="002E20F8"/>
    <w:rsid w:val="002E29CE"/>
    <w:rsid w:val="002E4A39"/>
    <w:rsid w:val="002E5E90"/>
    <w:rsid w:val="002E66DC"/>
    <w:rsid w:val="002F059A"/>
    <w:rsid w:val="002F09E7"/>
    <w:rsid w:val="002F7E2A"/>
    <w:rsid w:val="0030250A"/>
    <w:rsid w:val="00303CA7"/>
    <w:rsid w:val="00303FFD"/>
    <w:rsid w:val="003052B0"/>
    <w:rsid w:val="00305AC3"/>
    <w:rsid w:val="0030631B"/>
    <w:rsid w:val="00312790"/>
    <w:rsid w:val="00313B10"/>
    <w:rsid w:val="00325C36"/>
    <w:rsid w:val="00331310"/>
    <w:rsid w:val="0033152C"/>
    <w:rsid w:val="0033230B"/>
    <w:rsid w:val="0033328A"/>
    <w:rsid w:val="00333F78"/>
    <w:rsid w:val="0033419F"/>
    <w:rsid w:val="00335A7E"/>
    <w:rsid w:val="00336CBF"/>
    <w:rsid w:val="00337872"/>
    <w:rsid w:val="00347BAE"/>
    <w:rsid w:val="0035129B"/>
    <w:rsid w:val="0035580F"/>
    <w:rsid w:val="00356742"/>
    <w:rsid w:val="00357A2B"/>
    <w:rsid w:val="003607AE"/>
    <w:rsid w:val="00360B97"/>
    <w:rsid w:val="003620F0"/>
    <w:rsid w:val="00365183"/>
    <w:rsid w:val="003745BD"/>
    <w:rsid w:val="00377AC6"/>
    <w:rsid w:val="00382522"/>
    <w:rsid w:val="003906CB"/>
    <w:rsid w:val="00392215"/>
    <w:rsid w:val="00394036"/>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BB"/>
    <w:rsid w:val="003D5381"/>
    <w:rsid w:val="003D5CF4"/>
    <w:rsid w:val="003D6B48"/>
    <w:rsid w:val="003E54C8"/>
    <w:rsid w:val="003F1B92"/>
    <w:rsid w:val="003F26B1"/>
    <w:rsid w:val="003F2E42"/>
    <w:rsid w:val="003F45E3"/>
    <w:rsid w:val="003F6A25"/>
    <w:rsid w:val="003F78EE"/>
    <w:rsid w:val="0040094E"/>
    <w:rsid w:val="00400EA6"/>
    <w:rsid w:val="00405242"/>
    <w:rsid w:val="00407274"/>
    <w:rsid w:val="00414C31"/>
    <w:rsid w:val="004159F2"/>
    <w:rsid w:val="0041616F"/>
    <w:rsid w:val="004211B1"/>
    <w:rsid w:val="00422C3B"/>
    <w:rsid w:val="004279E6"/>
    <w:rsid w:val="004308B2"/>
    <w:rsid w:val="00431E05"/>
    <w:rsid w:val="00432179"/>
    <w:rsid w:val="0043315F"/>
    <w:rsid w:val="00433608"/>
    <w:rsid w:val="004347EE"/>
    <w:rsid w:val="00442798"/>
    <w:rsid w:val="00444994"/>
    <w:rsid w:val="00446934"/>
    <w:rsid w:val="00446EDF"/>
    <w:rsid w:val="004535F2"/>
    <w:rsid w:val="0045492C"/>
    <w:rsid w:val="0045608C"/>
    <w:rsid w:val="004566AA"/>
    <w:rsid w:val="004566B0"/>
    <w:rsid w:val="0045736C"/>
    <w:rsid w:val="0046328F"/>
    <w:rsid w:val="004643A7"/>
    <w:rsid w:val="00483E57"/>
    <w:rsid w:val="004851EA"/>
    <w:rsid w:val="004870F5"/>
    <w:rsid w:val="00490E52"/>
    <w:rsid w:val="00490F06"/>
    <w:rsid w:val="00492D7A"/>
    <w:rsid w:val="00494941"/>
    <w:rsid w:val="004A2E7B"/>
    <w:rsid w:val="004A35BB"/>
    <w:rsid w:val="004A35E6"/>
    <w:rsid w:val="004A36EB"/>
    <w:rsid w:val="004A3ED5"/>
    <w:rsid w:val="004A4272"/>
    <w:rsid w:val="004A52E8"/>
    <w:rsid w:val="004B2C88"/>
    <w:rsid w:val="004B7299"/>
    <w:rsid w:val="004C0826"/>
    <w:rsid w:val="004C1924"/>
    <w:rsid w:val="004C590C"/>
    <w:rsid w:val="004C6A63"/>
    <w:rsid w:val="004D061D"/>
    <w:rsid w:val="004D11CA"/>
    <w:rsid w:val="004D16E9"/>
    <w:rsid w:val="004D4A62"/>
    <w:rsid w:val="004F16C5"/>
    <w:rsid w:val="004F1DAF"/>
    <w:rsid w:val="004F2423"/>
    <w:rsid w:val="004F31D9"/>
    <w:rsid w:val="004F5BEB"/>
    <w:rsid w:val="00510275"/>
    <w:rsid w:val="005129B2"/>
    <w:rsid w:val="00517F83"/>
    <w:rsid w:val="0052305D"/>
    <w:rsid w:val="00523193"/>
    <w:rsid w:val="00526A24"/>
    <w:rsid w:val="0053089A"/>
    <w:rsid w:val="00540F33"/>
    <w:rsid w:val="0054122B"/>
    <w:rsid w:val="005428F3"/>
    <w:rsid w:val="005466D3"/>
    <w:rsid w:val="00551334"/>
    <w:rsid w:val="0055395E"/>
    <w:rsid w:val="00555396"/>
    <w:rsid w:val="0055660C"/>
    <w:rsid w:val="005618CE"/>
    <w:rsid w:val="00562605"/>
    <w:rsid w:val="00565FA4"/>
    <w:rsid w:val="00571DA7"/>
    <w:rsid w:val="0057470C"/>
    <w:rsid w:val="00574D68"/>
    <w:rsid w:val="00576E77"/>
    <w:rsid w:val="00577B91"/>
    <w:rsid w:val="005831E2"/>
    <w:rsid w:val="005847CE"/>
    <w:rsid w:val="005858CA"/>
    <w:rsid w:val="00585F8E"/>
    <w:rsid w:val="00586933"/>
    <w:rsid w:val="0059507F"/>
    <w:rsid w:val="00597EFD"/>
    <w:rsid w:val="005A2E26"/>
    <w:rsid w:val="005A4CCB"/>
    <w:rsid w:val="005A6D54"/>
    <w:rsid w:val="005B10CE"/>
    <w:rsid w:val="005B4A7C"/>
    <w:rsid w:val="005C0D40"/>
    <w:rsid w:val="005C1B86"/>
    <w:rsid w:val="005D2E86"/>
    <w:rsid w:val="005D486F"/>
    <w:rsid w:val="005D6790"/>
    <w:rsid w:val="005D7959"/>
    <w:rsid w:val="005E5134"/>
    <w:rsid w:val="005E713D"/>
    <w:rsid w:val="005E7E1D"/>
    <w:rsid w:val="005F1BA1"/>
    <w:rsid w:val="005F3182"/>
    <w:rsid w:val="005F505A"/>
    <w:rsid w:val="00600150"/>
    <w:rsid w:val="00602908"/>
    <w:rsid w:val="006045F9"/>
    <w:rsid w:val="00605C66"/>
    <w:rsid w:val="00606C86"/>
    <w:rsid w:val="0060725B"/>
    <w:rsid w:val="006077CC"/>
    <w:rsid w:val="006103E0"/>
    <w:rsid w:val="006115B1"/>
    <w:rsid w:val="00613CBB"/>
    <w:rsid w:val="0061417C"/>
    <w:rsid w:val="00616360"/>
    <w:rsid w:val="0062056C"/>
    <w:rsid w:val="006208C4"/>
    <w:rsid w:val="006216C3"/>
    <w:rsid w:val="00621FC1"/>
    <w:rsid w:val="00623BCF"/>
    <w:rsid w:val="00625E09"/>
    <w:rsid w:val="00627E2D"/>
    <w:rsid w:val="00627E66"/>
    <w:rsid w:val="006312D7"/>
    <w:rsid w:val="006323DC"/>
    <w:rsid w:val="00632C24"/>
    <w:rsid w:val="00635024"/>
    <w:rsid w:val="00641B97"/>
    <w:rsid w:val="00642CE1"/>
    <w:rsid w:val="006439AB"/>
    <w:rsid w:val="0064545F"/>
    <w:rsid w:val="00653012"/>
    <w:rsid w:val="00653B98"/>
    <w:rsid w:val="00654CE6"/>
    <w:rsid w:val="00656E86"/>
    <w:rsid w:val="006572CE"/>
    <w:rsid w:val="00674927"/>
    <w:rsid w:val="006806F2"/>
    <w:rsid w:val="00687E6A"/>
    <w:rsid w:val="00690733"/>
    <w:rsid w:val="00691560"/>
    <w:rsid w:val="00694237"/>
    <w:rsid w:val="00694735"/>
    <w:rsid w:val="006A295C"/>
    <w:rsid w:val="006A2C9E"/>
    <w:rsid w:val="006A537A"/>
    <w:rsid w:val="006A631E"/>
    <w:rsid w:val="006A6D07"/>
    <w:rsid w:val="006B16F0"/>
    <w:rsid w:val="006C081B"/>
    <w:rsid w:val="006C19A8"/>
    <w:rsid w:val="006C3352"/>
    <w:rsid w:val="006C6028"/>
    <w:rsid w:val="006D0503"/>
    <w:rsid w:val="006D0B5A"/>
    <w:rsid w:val="006D2490"/>
    <w:rsid w:val="006D5B27"/>
    <w:rsid w:val="006F035C"/>
    <w:rsid w:val="006F03D3"/>
    <w:rsid w:val="006F21B2"/>
    <w:rsid w:val="006F2946"/>
    <w:rsid w:val="006F77C2"/>
    <w:rsid w:val="0070119E"/>
    <w:rsid w:val="00702857"/>
    <w:rsid w:val="00702D00"/>
    <w:rsid w:val="00703D4C"/>
    <w:rsid w:val="007063EF"/>
    <w:rsid w:val="0071142D"/>
    <w:rsid w:val="007139DE"/>
    <w:rsid w:val="0071747D"/>
    <w:rsid w:val="0072305A"/>
    <w:rsid w:val="00730536"/>
    <w:rsid w:val="00731C26"/>
    <w:rsid w:val="007328F6"/>
    <w:rsid w:val="00733ACA"/>
    <w:rsid w:val="007410FB"/>
    <w:rsid w:val="0074138F"/>
    <w:rsid w:val="00746D73"/>
    <w:rsid w:val="00747D24"/>
    <w:rsid w:val="00751D56"/>
    <w:rsid w:val="00752B0E"/>
    <w:rsid w:val="00752C75"/>
    <w:rsid w:val="00754FFC"/>
    <w:rsid w:val="00760FC0"/>
    <w:rsid w:val="00762F0D"/>
    <w:rsid w:val="00764242"/>
    <w:rsid w:val="00770347"/>
    <w:rsid w:val="00770EEA"/>
    <w:rsid w:val="007747C0"/>
    <w:rsid w:val="0077608B"/>
    <w:rsid w:val="00776D77"/>
    <w:rsid w:val="00777094"/>
    <w:rsid w:val="00783F65"/>
    <w:rsid w:val="007855EC"/>
    <w:rsid w:val="00795038"/>
    <w:rsid w:val="007955C3"/>
    <w:rsid w:val="00795F54"/>
    <w:rsid w:val="00796F43"/>
    <w:rsid w:val="007A04AE"/>
    <w:rsid w:val="007B2EB7"/>
    <w:rsid w:val="007B48AF"/>
    <w:rsid w:val="007B6027"/>
    <w:rsid w:val="007B7B55"/>
    <w:rsid w:val="007C0F6A"/>
    <w:rsid w:val="007C20A6"/>
    <w:rsid w:val="007C2F2E"/>
    <w:rsid w:val="007C6BE4"/>
    <w:rsid w:val="007D0031"/>
    <w:rsid w:val="007D04F9"/>
    <w:rsid w:val="007E1557"/>
    <w:rsid w:val="007F149F"/>
    <w:rsid w:val="007F4401"/>
    <w:rsid w:val="007F50DD"/>
    <w:rsid w:val="007F5868"/>
    <w:rsid w:val="007F59EF"/>
    <w:rsid w:val="007F5B6C"/>
    <w:rsid w:val="007F6488"/>
    <w:rsid w:val="008024C8"/>
    <w:rsid w:val="008064D0"/>
    <w:rsid w:val="00807459"/>
    <w:rsid w:val="00820662"/>
    <w:rsid w:val="008216C9"/>
    <w:rsid w:val="0082356C"/>
    <w:rsid w:val="008243FF"/>
    <w:rsid w:val="008334CC"/>
    <w:rsid w:val="00833DB0"/>
    <w:rsid w:val="0083475F"/>
    <w:rsid w:val="00842962"/>
    <w:rsid w:val="008438B2"/>
    <w:rsid w:val="0085599B"/>
    <w:rsid w:val="00856478"/>
    <w:rsid w:val="008572E9"/>
    <w:rsid w:val="00861D12"/>
    <w:rsid w:val="00865BCE"/>
    <w:rsid w:val="00866867"/>
    <w:rsid w:val="00871CBA"/>
    <w:rsid w:val="00872EF9"/>
    <w:rsid w:val="0087633D"/>
    <w:rsid w:val="00882101"/>
    <w:rsid w:val="0088486B"/>
    <w:rsid w:val="00891181"/>
    <w:rsid w:val="00893BF8"/>
    <w:rsid w:val="008A2FBC"/>
    <w:rsid w:val="008A4087"/>
    <w:rsid w:val="008A7D1F"/>
    <w:rsid w:val="008B01DC"/>
    <w:rsid w:val="008B0EB0"/>
    <w:rsid w:val="008B6D24"/>
    <w:rsid w:val="008B7154"/>
    <w:rsid w:val="008C0CFB"/>
    <w:rsid w:val="008C0EF4"/>
    <w:rsid w:val="008C2D59"/>
    <w:rsid w:val="008C7FB4"/>
    <w:rsid w:val="008D06C3"/>
    <w:rsid w:val="008D0F0C"/>
    <w:rsid w:val="008D3720"/>
    <w:rsid w:val="008D4630"/>
    <w:rsid w:val="008E0094"/>
    <w:rsid w:val="008E294D"/>
    <w:rsid w:val="008E557F"/>
    <w:rsid w:val="008E689A"/>
    <w:rsid w:val="008F54E7"/>
    <w:rsid w:val="008F6BF8"/>
    <w:rsid w:val="00912DD0"/>
    <w:rsid w:val="00913900"/>
    <w:rsid w:val="0091454C"/>
    <w:rsid w:val="00914C02"/>
    <w:rsid w:val="00915CCB"/>
    <w:rsid w:val="00921C6B"/>
    <w:rsid w:val="009226F4"/>
    <w:rsid w:val="00924955"/>
    <w:rsid w:val="00925D45"/>
    <w:rsid w:val="00926D8D"/>
    <w:rsid w:val="009300CC"/>
    <w:rsid w:val="00933AF2"/>
    <w:rsid w:val="00942D2A"/>
    <w:rsid w:val="00943079"/>
    <w:rsid w:val="00944549"/>
    <w:rsid w:val="009447F7"/>
    <w:rsid w:val="009460CD"/>
    <w:rsid w:val="00947168"/>
    <w:rsid w:val="0095017A"/>
    <w:rsid w:val="00951891"/>
    <w:rsid w:val="00954838"/>
    <w:rsid w:val="0095710A"/>
    <w:rsid w:val="00961285"/>
    <w:rsid w:val="00964A28"/>
    <w:rsid w:val="00966DB9"/>
    <w:rsid w:val="009678A4"/>
    <w:rsid w:val="00970D73"/>
    <w:rsid w:val="00971EEF"/>
    <w:rsid w:val="00977CD4"/>
    <w:rsid w:val="00980D97"/>
    <w:rsid w:val="009813BA"/>
    <w:rsid w:val="00983C5B"/>
    <w:rsid w:val="0098418F"/>
    <w:rsid w:val="00991127"/>
    <w:rsid w:val="00991F0A"/>
    <w:rsid w:val="00993AC8"/>
    <w:rsid w:val="009A0C38"/>
    <w:rsid w:val="009A3DB1"/>
    <w:rsid w:val="009A6166"/>
    <w:rsid w:val="009B0293"/>
    <w:rsid w:val="009B1FA7"/>
    <w:rsid w:val="009B25D3"/>
    <w:rsid w:val="009B74A3"/>
    <w:rsid w:val="009C020F"/>
    <w:rsid w:val="009D1AF4"/>
    <w:rsid w:val="009D322A"/>
    <w:rsid w:val="009E06BE"/>
    <w:rsid w:val="009E5324"/>
    <w:rsid w:val="009F0371"/>
    <w:rsid w:val="009F3AD1"/>
    <w:rsid w:val="009F58A6"/>
    <w:rsid w:val="00A003C7"/>
    <w:rsid w:val="00A016B8"/>
    <w:rsid w:val="00A0639D"/>
    <w:rsid w:val="00A13C0E"/>
    <w:rsid w:val="00A144BB"/>
    <w:rsid w:val="00A150D7"/>
    <w:rsid w:val="00A16C89"/>
    <w:rsid w:val="00A23891"/>
    <w:rsid w:val="00A23BD5"/>
    <w:rsid w:val="00A31590"/>
    <w:rsid w:val="00A32382"/>
    <w:rsid w:val="00A3354A"/>
    <w:rsid w:val="00A34E48"/>
    <w:rsid w:val="00A357FA"/>
    <w:rsid w:val="00A36598"/>
    <w:rsid w:val="00A42A25"/>
    <w:rsid w:val="00A44069"/>
    <w:rsid w:val="00A5200C"/>
    <w:rsid w:val="00A55952"/>
    <w:rsid w:val="00A60D92"/>
    <w:rsid w:val="00A623AF"/>
    <w:rsid w:val="00A62CD1"/>
    <w:rsid w:val="00A638BE"/>
    <w:rsid w:val="00A72B49"/>
    <w:rsid w:val="00A72C73"/>
    <w:rsid w:val="00A737B9"/>
    <w:rsid w:val="00A755BC"/>
    <w:rsid w:val="00A77040"/>
    <w:rsid w:val="00A777A4"/>
    <w:rsid w:val="00A8433A"/>
    <w:rsid w:val="00A860F4"/>
    <w:rsid w:val="00A87BF7"/>
    <w:rsid w:val="00A904F1"/>
    <w:rsid w:val="00A90FD3"/>
    <w:rsid w:val="00A97AE3"/>
    <w:rsid w:val="00AA7304"/>
    <w:rsid w:val="00AB0C23"/>
    <w:rsid w:val="00AB1E10"/>
    <w:rsid w:val="00AB29D9"/>
    <w:rsid w:val="00AB2AED"/>
    <w:rsid w:val="00AC05B2"/>
    <w:rsid w:val="00AC1983"/>
    <w:rsid w:val="00AC38D8"/>
    <w:rsid w:val="00AD3823"/>
    <w:rsid w:val="00AD4589"/>
    <w:rsid w:val="00AE62AE"/>
    <w:rsid w:val="00AF1835"/>
    <w:rsid w:val="00AF2C3F"/>
    <w:rsid w:val="00AF2F28"/>
    <w:rsid w:val="00AF48AA"/>
    <w:rsid w:val="00AF49AD"/>
    <w:rsid w:val="00B033AF"/>
    <w:rsid w:val="00B0489F"/>
    <w:rsid w:val="00B06108"/>
    <w:rsid w:val="00B1313A"/>
    <w:rsid w:val="00B263E2"/>
    <w:rsid w:val="00B26536"/>
    <w:rsid w:val="00B3418D"/>
    <w:rsid w:val="00B40329"/>
    <w:rsid w:val="00B40AB9"/>
    <w:rsid w:val="00B428F6"/>
    <w:rsid w:val="00B43174"/>
    <w:rsid w:val="00B43C42"/>
    <w:rsid w:val="00B45D62"/>
    <w:rsid w:val="00B51FC9"/>
    <w:rsid w:val="00B536D8"/>
    <w:rsid w:val="00B5534A"/>
    <w:rsid w:val="00B56120"/>
    <w:rsid w:val="00B57416"/>
    <w:rsid w:val="00B60567"/>
    <w:rsid w:val="00B60C21"/>
    <w:rsid w:val="00B623C4"/>
    <w:rsid w:val="00B62912"/>
    <w:rsid w:val="00B65604"/>
    <w:rsid w:val="00B668E9"/>
    <w:rsid w:val="00B66D39"/>
    <w:rsid w:val="00B703AC"/>
    <w:rsid w:val="00B70BE7"/>
    <w:rsid w:val="00B719EF"/>
    <w:rsid w:val="00B72484"/>
    <w:rsid w:val="00B74BED"/>
    <w:rsid w:val="00B777DC"/>
    <w:rsid w:val="00B8327C"/>
    <w:rsid w:val="00B86D37"/>
    <w:rsid w:val="00B91384"/>
    <w:rsid w:val="00B933BD"/>
    <w:rsid w:val="00B97B9F"/>
    <w:rsid w:val="00B97BF9"/>
    <w:rsid w:val="00BA4D30"/>
    <w:rsid w:val="00BA5950"/>
    <w:rsid w:val="00BB06FD"/>
    <w:rsid w:val="00BB0DA4"/>
    <w:rsid w:val="00BB28FB"/>
    <w:rsid w:val="00BB3276"/>
    <w:rsid w:val="00BB4DBA"/>
    <w:rsid w:val="00BB7DD8"/>
    <w:rsid w:val="00BC0D67"/>
    <w:rsid w:val="00BC372A"/>
    <w:rsid w:val="00BC3D94"/>
    <w:rsid w:val="00BD1DB1"/>
    <w:rsid w:val="00BD1FEC"/>
    <w:rsid w:val="00BD2D5A"/>
    <w:rsid w:val="00BD2DA7"/>
    <w:rsid w:val="00BD4107"/>
    <w:rsid w:val="00BD4A97"/>
    <w:rsid w:val="00BD5FCC"/>
    <w:rsid w:val="00BE50EB"/>
    <w:rsid w:val="00BF428D"/>
    <w:rsid w:val="00BF6948"/>
    <w:rsid w:val="00C0524A"/>
    <w:rsid w:val="00C061CC"/>
    <w:rsid w:val="00C070AF"/>
    <w:rsid w:val="00C07ED4"/>
    <w:rsid w:val="00C10EAD"/>
    <w:rsid w:val="00C119D5"/>
    <w:rsid w:val="00C13CE2"/>
    <w:rsid w:val="00C2196E"/>
    <w:rsid w:val="00C244A7"/>
    <w:rsid w:val="00C246B8"/>
    <w:rsid w:val="00C246D8"/>
    <w:rsid w:val="00C26DFC"/>
    <w:rsid w:val="00C35C28"/>
    <w:rsid w:val="00C37E90"/>
    <w:rsid w:val="00C41F72"/>
    <w:rsid w:val="00C42398"/>
    <w:rsid w:val="00C45C39"/>
    <w:rsid w:val="00C4629D"/>
    <w:rsid w:val="00C47871"/>
    <w:rsid w:val="00C5024C"/>
    <w:rsid w:val="00C518BD"/>
    <w:rsid w:val="00C51AF7"/>
    <w:rsid w:val="00C526E5"/>
    <w:rsid w:val="00C52EC8"/>
    <w:rsid w:val="00C53B22"/>
    <w:rsid w:val="00C54748"/>
    <w:rsid w:val="00C55A36"/>
    <w:rsid w:val="00C5662F"/>
    <w:rsid w:val="00C607C2"/>
    <w:rsid w:val="00C63B78"/>
    <w:rsid w:val="00C70A9E"/>
    <w:rsid w:val="00C73FBE"/>
    <w:rsid w:val="00C76FEF"/>
    <w:rsid w:val="00C847B0"/>
    <w:rsid w:val="00C927D5"/>
    <w:rsid w:val="00C92AF0"/>
    <w:rsid w:val="00C92DBD"/>
    <w:rsid w:val="00C93456"/>
    <w:rsid w:val="00C93983"/>
    <w:rsid w:val="00C958FD"/>
    <w:rsid w:val="00C967FD"/>
    <w:rsid w:val="00C97D90"/>
    <w:rsid w:val="00CA15FE"/>
    <w:rsid w:val="00CA2615"/>
    <w:rsid w:val="00CA27A4"/>
    <w:rsid w:val="00CA3912"/>
    <w:rsid w:val="00CA409D"/>
    <w:rsid w:val="00CB20D4"/>
    <w:rsid w:val="00CC0B73"/>
    <w:rsid w:val="00CC0E91"/>
    <w:rsid w:val="00CC1FEA"/>
    <w:rsid w:val="00CC7F30"/>
    <w:rsid w:val="00CD101A"/>
    <w:rsid w:val="00CD1B0B"/>
    <w:rsid w:val="00CD2A4B"/>
    <w:rsid w:val="00CD3632"/>
    <w:rsid w:val="00CD6EAE"/>
    <w:rsid w:val="00CD7BE9"/>
    <w:rsid w:val="00CE74CB"/>
    <w:rsid w:val="00CF108C"/>
    <w:rsid w:val="00CF26B7"/>
    <w:rsid w:val="00CF3DDD"/>
    <w:rsid w:val="00CF4E82"/>
    <w:rsid w:val="00CF68EF"/>
    <w:rsid w:val="00D00072"/>
    <w:rsid w:val="00D0180E"/>
    <w:rsid w:val="00D01C11"/>
    <w:rsid w:val="00D0306A"/>
    <w:rsid w:val="00D03364"/>
    <w:rsid w:val="00D03A0E"/>
    <w:rsid w:val="00D072AD"/>
    <w:rsid w:val="00D12A66"/>
    <w:rsid w:val="00D23F72"/>
    <w:rsid w:val="00D24B19"/>
    <w:rsid w:val="00D26AE0"/>
    <w:rsid w:val="00D302B0"/>
    <w:rsid w:val="00D34A9C"/>
    <w:rsid w:val="00D35964"/>
    <w:rsid w:val="00D3749E"/>
    <w:rsid w:val="00D4708A"/>
    <w:rsid w:val="00D52003"/>
    <w:rsid w:val="00D52F2B"/>
    <w:rsid w:val="00D54D6A"/>
    <w:rsid w:val="00D55C4B"/>
    <w:rsid w:val="00D612C9"/>
    <w:rsid w:val="00D646BF"/>
    <w:rsid w:val="00D64A46"/>
    <w:rsid w:val="00D66FF2"/>
    <w:rsid w:val="00D70283"/>
    <w:rsid w:val="00D7318C"/>
    <w:rsid w:val="00D82238"/>
    <w:rsid w:val="00D84BC8"/>
    <w:rsid w:val="00D901A2"/>
    <w:rsid w:val="00D91399"/>
    <w:rsid w:val="00D92420"/>
    <w:rsid w:val="00D93CCA"/>
    <w:rsid w:val="00D9534C"/>
    <w:rsid w:val="00D976F3"/>
    <w:rsid w:val="00DA19F0"/>
    <w:rsid w:val="00DA210C"/>
    <w:rsid w:val="00DA28A4"/>
    <w:rsid w:val="00DA30DA"/>
    <w:rsid w:val="00DA448C"/>
    <w:rsid w:val="00DA519A"/>
    <w:rsid w:val="00DA5AD5"/>
    <w:rsid w:val="00DB7699"/>
    <w:rsid w:val="00DC0183"/>
    <w:rsid w:val="00DC1517"/>
    <w:rsid w:val="00DC2CAC"/>
    <w:rsid w:val="00DC6C9A"/>
    <w:rsid w:val="00DD2F1B"/>
    <w:rsid w:val="00DD6780"/>
    <w:rsid w:val="00DD7E1C"/>
    <w:rsid w:val="00DE2243"/>
    <w:rsid w:val="00DE499E"/>
    <w:rsid w:val="00DE5DF3"/>
    <w:rsid w:val="00DE7735"/>
    <w:rsid w:val="00DF2713"/>
    <w:rsid w:val="00DF5D02"/>
    <w:rsid w:val="00DF7099"/>
    <w:rsid w:val="00E025C2"/>
    <w:rsid w:val="00E12331"/>
    <w:rsid w:val="00E129E1"/>
    <w:rsid w:val="00E21A4E"/>
    <w:rsid w:val="00E22FDA"/>
    <w:rsid w:val="00E243CE"/>
    <w:rsid w:val="00E26889"/>
    <w:rsid w:val="00E35FD2"/>
    <w:rsid w:val="00E4115B"/>
    <w:rsid w:val="00E418AE"/>
    <w:rsid w:val="00E41A6D"/>
    <w:rsid w:val="00E4267D"/>
    <w:rsid w:val="00E42BA8"/>
    <w:rsid w:val="00E4483D"/>
    <w:rsid w:val="00E44B76"/>
    <w:rsid w:val="00E45550"/>
    <w:rsid w:val="00E46900"/>
    <w:rsid w:val="00E46B41"/>
    <w:rsid w:val="00E502F1"/>
    <w:rsid w:val="00E50DCC"/>
    <w:rsid w:val="00E5721E"/>
    <w:rsid w:val="00E57488"/>
    <w:rsid w:val="00E60BE6"/>
    <w:rsid w:val="00E60F7F"/>
    <w:rsid w:val="00E63A03"/>
    <w:rsid w:val="00E63E7C"/>
    <w:rsid w:val="00E77A99"/>
    <w:rsid w:val="00E842F3"/>
    <w:rsid w:val="00E845ED"/>
    <w:rsid w:val="00E84793"/>
    <w:rsid w:val="00E8530E"/>
    <w:rsid w:val="00E9091D"/>
    <w:rsid w:val="00E927A1"/>
    <w:rsid w:val="00E93572"/>
    <w:rsid w:val="00E93638"/>
    <w:rsid w:val="00E94733"/>
    <w:rsid w:val="00E94AD2"/>
    <w:rsid w:val="00E94BAB"/>
    <w:rsid w:val="00E95853"/>
    <w:rsid w:val="00EA0D4E"/>
    <w:rsid w:val="00EB3AF2"/>
    <w:rsid w:val="00EB4772"/>
    <w:rsid w:val="00EB55E3"/>
    <w:rsid w:val="00EB7090"/>
    <w:rsid w:val="00EC0C6F"/>
    <w:rsid w:val="00EC1B97"/>
    <w:rsid w:val="00ED5181"/>
    <w:rsid w:val="00ED5A35"/>
    <w:rsid w:val="00ED6789"/>
    <w:rsid w:val="00ED67F2"/>
    <w:rsid w:val="00ED6E8C"/>
    <w:rsid w:val="00ED6F8A"/>
    <w:rsid w:val="00EE76CA"/>
    <w:rsid w:val="00EF580A"/>
    <w:rsid w:val="00F0065E"/>
    <w:rsid w:val="00F01275"/>
    <w:rsid w:val="00F0372B"/>
    <w:rsid w:val="00F04BFB"/>
    <w:rsid w:val="00F04C37"/>
    <w:rsid w:val="00F15014"/>
    <w:rsid w:val="00F1645E"/>
    <w:rsid w:val="00F30EDC"/>
    <w:rsid w:val="00F341B7"/>
    <w:rsid w:val="00F44EF7"/>
    <w:rsid w:val="00F4650A"/>
    <w:rsid w:val="00F516F3"/>
    <w:rsid w:val="00F52309"/>
    <w:rsid w:val="00F5295C"/>
    <w:rsid w:val="00F56004"/>
    <w:rsid w:val="00F56FC4"/>
    <w:rsid w:val="00F57897"/>
    <w:rsid w:val="00F57C2A"/>
    <w:rsid w:val="00F65BAC"/>
    <w:rsid w:val="00F71CCC"/>
    <w:rsid w:val="00F7307E"/>
    <w:rsid w:val="00F76E81"/>
    <w:rsid w:val="00F777DA"/>
    <w:rsid w:val="00F80072"/>
    <w:rsid w:val="00F8242D"/>
    <w:rsid w:val="00F845C1"/>
    <w:rsid w:val="00F92E34"/>
    <w:rsid w:val="00F93FC8"/>
    <w:rsid w:val="00F945FA"/>
    <w:rsid w:val="00FA6557"/>
    <w:rsid w:val="00FA65AD"/>
    <w:rsid w:val="00FA6864"/>
    <w:rsid w:val="00FB1644"/>
    <w:rsid w:val="00FB38CA"/>
    <w:rsid w:val="00FB4B3D"/>
    <w:rsid w:val="00FB5D0B"/>
    <w:rsid w:val="00FB68D1"/>
    <w:rsid w:val="00FB7181"/>
    <w:rsid w:val="00FB7C48"/>
    <w:rsid w:val="00FC222E"/>
    <w:rsid w:val="00FC3868"/>
    <w:rsid w:val="00FC704A"/>
    <w:rsid w:val="00FD118B"/>
    <w:rsid w:val="00FD196D"/>
    <w:rsid w:val="00FE1A49"/>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7846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Andreas Keel</cp:lastModifiedBy>
  <cp:revision>3</cp:revision>
  <dcterms:created xsi:type="dcterms:W3CDTF">2024-03-05T08:58:00Z</dcterms:created>
  <dcterms:modified xsi:type="dcterms:W3CDTF">2024-03-05T08:59:00Z</dcterms:modified>
</cp:coreProperties>
</file>