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8C0CFB" w:rsidRDefault="006F21B2" w:rsidP="00442798">
      <w:pPr>
        <w:spacing w:after="0"/>
        <w:rPr>
          <w:rFonts w:ascii="Arial" w:hAnsi="Arial" w:cs="Arial"/>
        </w:rPr>
      </w:pPr>
    </w:p>
    <w:p w14:paraId="38213374" w14:textId="77777777" w:rsidR="006F21B2" w:rsidRPr="008C0CFB" w:rsidRDefault="006F21B2" w:rsidP="00442798">
      <w:pPr>
        <w:spacing w:after="0"/>
        <w:rPr>
          <w:rFonts w:ascii="Arial" w:hAnsi="Arial" w:cs="Arial"/>
        </w:rPr>
      </w:pPr>
    </w:p>
    <w:p w14:paraId="12CD72B0" w14:textId="77777777" w:rsidR="006F21B2" w:rsidRPr="008C0CFB" w:rsidRDefault="006F21B2" w:rsidP="00442798">
      <w:pPr>
        <w:spacing w:after="0"/>
        <w:rPr>
          <w:rFonts w:ascii="Arial" w:hAnsi="Arial" w:cs="Arial"/>
        </w:rPr>
      </w:pPr>
    </w:p>
    <w:p w14:paraId="5EBFFF53" w14:textId="6452BF83" w:rsidR="006F21B2" w:rsidRPr="008C0CFB" w:rsidRDefault="006F21B2" w:rsidP="00442798">
      <w:pPr>
        <w:spacing w:after="0"/>
        <w:rPr>
          <w:rFonts w:ascii="Arial" w:hAnsi="Arial" w:cs="Arial"/>
        </w:rPr>
      </w:pPr>
      <w:r w:rsidRPr="008C0CFB">
        <w:rPr>
          <w:rFonts w:ascii="Arial" w:hAnsi="Arial" w:cs="Arial"/>
        </w:rPr>
        <w:t xml:space="preserve">Zürich, </w:t>
      </w:r>
      <w:r w:rsidR="008276E4">
        <w:rPr>
          <w:rFonts w:ascii="Arial" w:hAnsi="Arial" w:cs="Arial"/>
        </w:rPr>
        <w:t>31. März</w:t>
      </w:r>
      <w:r w:rsidR="00292C78" w:rsidRPr="008C0CFB">
        <w:rPr>
          <w:rFonts w:ascii="Arial" w:hAnsi="Arial" w:cs="Arial"/>
        </w:rPr>
        <w:t xml:space="preserve"> 2024</w:t>
      </w:r>
    </w:p>
    <w:p w14:paraId="06B2FD2E" w14:textId="77777777" w:rsidR="006F21B2" w:rsidRPr="008C0CFB" w:rsidRDefault="006F21B2" w:rsidP="00442798">
      <w:pPr>
        <w:spacing w:after="0"/>
        <w:rPr>
          <w:rFonts w:ascii="Arial" w:hAnsi="Arial" w:cs="Arial"/>
          <w:sz w:val="28"/>
        </w:rPr>
      </w:pPr>
    </w:p>
    <w:p w14:paraId="1BA78203" w14:textId="7D641B59" w:rsidR="006F21B2" w:rsidRPr="008C0CFB" w:rsidRDefault="006F21B2" w:rsidP="00442798">
      <w:pPr>
        <w:spacing w:after="0"/>
        <w:rPr>
          <w:rFonts w:ascii="Arial" w:hAnsi="Arial" w:cs="Arial"/>
          <w:sz w:val="28"/>
        </w:rPr>
      </w:pPr>
    </w:p>
    <w:p w14:paraId="04337EB1" w14:textId="0366D38E" w:rsidR="006F21B2" w:rsidRPr="008C0CFB" w:rsidRDefault="00A32382" w:rsidP="00442798">
      <w:pPr>
        <w:spacing w:after="0"/>
        <w:rPr>
          <w:rFonts w:ascii="Arial" w:hAnsi="Arial" w:cs="Arial"/>
          <w:b/>
          <w:sz w:val="28"/>
        </w:rPr>
      </w:pPr>
      <w:r w:rsidRPr="008C0CFB">
        <w:rPr>
          <w:rFonts w:ascii="Arial" w:hAnsi="Arial" w:cs="Arial"/>
          <w:b/>
          <w:sz w:val="28"/>
        </w:rPr>
        <w:t>Pressebericht</w:t>
      </w:r>
    </w:p>
    <w:p w14:paraId="468FF85C" w14:textId="77777777" w:rsidR="006F21B2" w:rsidRPr="008C0CFB" w:rsidRDefault="006F21B2" w:rsidP="00442798">
      <w:pPr>
        <w:pBdr>
          <w:bottom w:val="single" w:sz="12" w:space="1" w:color="auto"/>
        </w:pBdr>
        <w:spacing w:after="0"/>
        <w:rPr>
          <w:rFonts w:ascii="Arial" w:hAnsi="Arial" w:cs="Arial"/>
          <w:sz w:val="28"/>
        </w:rPr>
      </w:pPr>
    </w:p>
    <w:p w14:paraId="1C37B3C5" w14:textId="77777777" w:rsidR="006F21B2" w:rsidRPr="008C0CFB" w:rsidRDefault="006F21B2" w:rsidP="00442798">
      <w:pPr>
        <w:spacing w:after="0"/>
        <w:rPr>
          <w:rFonts w:ascii="Arial" w:hAnsi="Arial" w:cs="Arial"/>
          <w:sz w:val="28"/>
        </w:rPr>
      </w:pPr>
    </w:p>
    <w:p w14:paraId="1FF857F2" w14:textId="3EB46AA3" w:rsidR="006F21B2" w:rsidRPr="008C0CFB" w:rsidRDefault="006F21B2" w:rsidP="00442798">
      <w:pPr>
        <w:spacing w:after="0" w:line="240" w:lineRule="auto"/>
        <w:rPr>
          <w:rFonts w:ascii="Arial" w:hAnsi="Arial" w:cs="Arial"/>
          <w:i/>
          <w:sz w:val="20"/>
        </w:rPr>
      </w:pPr>
      <w:r w:rsidRPr="008C0CFB">
        <w:rPr>
          <w:rFonts w:ascii="Arial" w:hAnsi="Arial" w:cs="Arial"/>
          <w:i/>
          <w:sz w:val="20"/>
        </w:rPr>
        <w:t>Umfang: ca.</w:t>
      </w:r>
      <w:r w:rsidR="007855EC" w:rsidRPr="008C0CFB">
        <w:rPr>
          <w:rFonts w:ascii="Arial" w:hAnsi="Arial" w:cs="Arial"/>
          <w:i/>
          <w:sz w:val="20"/>
        </w:rPr>
        <w:t xml:space="preserve"> </w:t>
      </w:r>
      <w:r w:rsidR="00C25B52">
        <w:rPr>
          <w:rFonts w:ascii="Arial" w:hAnsi="Arial" w:cs="Arial"/>
          <w:i/>
          <w:sz w:val="20"/>
        </w:rPr>
        <w:t xml:space="preserve">6'810 </w:t>
      </w:r>
      <w:r w:rsidRPr="008C0CFB">
        <w:rPr>
          <w:rFonts w:ascii="Arial" w:hAnsi="Arial" w:cs="Arial"/>
          <w:i/>
          <w:sz w:val="20"/>
        </w:rPr>
        <w:t xml:space="preserve">Zeichen, </w:t>
      </w:r>
      <w:r w:rsidR="00C52EC8" w:rsidRPr="008C0CFB">
        <w:rPr>
          <w:rFonts w:ascii="Arial" w:hAnsi="Arial" w:cs="Arial"/>
          <w:i/>
          <w:sz w:val="20"/>
        </w:rPr>
        <w:t xml:space="preserve">Text </w:t>
      </w:r>
      <w:r w:rsidRPr="008C0CFB">
        <w:rPr>
          <w:rFonts w:ascii="Arial" w:hAnsi="Arial" w:cs="Arial"/>
          <w:i/>
          <w:sz w:val="20"/>
        </w:rPr>
        <w:t>inkl. Lead</w:t>
      </w:r>
      <w:r w:rsidR="000802C1" w:rsidRPr="008C0CFB">
        <w:rPr>
          <w:rFonts w:ascii="Arial" w:hAnsi="Arial" w:cs="Arial"/>
          <w:i/>
          <w:sz w:val="20"/>
        </w:rPr>
        <w:t>,</w:t>
      </w:r>
      <w:r w:rsidR="00577B91" w:rsidRPr="008C0CFB">
        <w:rPr>
          <w:rFonts w:ascii="Arial" w:hAnsi="Arial" w:cs="Arial"/>
          <w:i/>
          <w:sz w:val="20"/>
        </w:rPr>
        <w:t xml:space="preserve"> Zwischentitel</w:t>
      </w:r>
      <w:r w:rsidR="00D01C11">
        <w:rPr>
          <w:rFonts w:ascii="Arial" w:hAnsi="Arial" w:cs="Arial"/>
          <w:i/>
          <w:sz w:val="20"/>
        </w:rPr>
        <w:t xml:space="preserve"> </w:t>
      </w:r>
      <w:r w:rsidR="008C0EF4" w:rsidRPr="008C0CFB">
        <w:rPr>
          <w:rFonts w:ascii="Arial" w:hAnsi="Arial" w:cs="Arial"/>
          <w:i/>
          <w:sz w:val="20"/>
        </w:rPr>
        <w:t>sowie</w:t>
      </w:r>
      <w:r w:rsidRPr="008C0CFB">
        <w:rPr>
          <w:rFonts w:ascii="Arial" w:hAnsi="Arial" w:cs="Arial"/>
          <w:i/>
          <w:sz w:val="20"/>
        </w:rPr>
        <w:t xml:space="preserve"> Leerschläge, ohne Titel</w:t>
      </w:r>
      <w:r w:rsidR="008C0EF4" w:rsidRPr="008C0CFB">
        <w:rPr>
          <w:rFonts w:ascii="Arial" w:hAnsi="Arial" w:cs="Arial"/>
          <w:i/>
          <w:sz w:val="20"/>
        </w:rPr>
        <w:t xml:space="preserve">, Kasten Holzenergie Schweiz </w:t>
      </w:r>
      <w:r w:rsidRPr="008C0CFB">
        <w:rPr>
          <w:rFonts w:ascii="Arial" w:hAnsi="Arial" w:cs="Arial"/>
          <w:i/>
          <w:sz w:val="20"/>
        </w:rPr>
        <w:t xml:space="preserve">und </w:t>
      </w:r>
      <w:r w:rsidR="008C0EF4" w:rsidRPr="008C0CFB">
        <w:rPr>
          <w:rFonts w:ascii="Arial" w:hAnsi="Arial" w:cs="Arial"/>
          <w:i/>
          <w:sz w:val="20"/>
        </w:rPr>
        <w:t>Bildlegenden</w:t>
      </w:r>
    </w:p>
    <w:p w14:paraId="1552AE6A" w14:textId="77777777" w:rsidR="006F21B2" w:rsidRPr="008C0CFB" w:rsidRDefault="006F21B2" w:rsidP="00442798">
      <w:pPr>
        <w:pBdr>
          <w:bottom w:val="single" w:sz="12" w:space="1" w:color="auto"/>
        </w:pBdr>
        <w:spacing w:after="0"/>
        <w:rPr>
          <w:rFonts w:ascii="Arial" w:hAnsi="Arial" w:cs="Arial"/>
          <w:sz w:val="28"/>
        </w:rPr>
      </w:pPr>
    </w:p>
    <w:p w14:paraId="1FF9E7A2" w14:textId="77777777" w:rsidR="006F21B2" w:rsidRPr="008C0CFB" w:rsidRDefault="006F21B2" w:rsidP="00442798">
      <w:pPr>
        <w:spacing w:after="0"/>
        <w:rPr>
          <w:rFonts w:ascii="Arial" w:hAnsi="Arial" w:cs="Arial"/>
          <w:sz w:val="28"/>
        </w:rPr>
      </w:pPr>
    </w:p>
    <w:p w14:paraId="00A8BD96" w14:textId="41513E98" w:rsidR="000142AF" w:rsidRPr="000142AF" w:rsidRDefault="000142AF" w:rsidP="00442798">
      <w:pPr>
        <w:spacing w:after="0"/>
        <w:rPr>
          <w:rFonts w:ascii="Arial" w:hAnsi="Arial" w:cs="Arial"/>
          <w:bCs/>
        </w:rPr>
      </w:pPr>
      <w:r w:rsidRPr="000142AF">
        <w:rPr>
          <w:rFonts w:ascii="Arial" w:hAnsi="Arial" w:cs="Arial"/>
          <w:bCs/>
        </w:rPr>
        <w:t>Titelvorschläge</w:t>
      </w:r>
    </w:p>
    <w:p w14:paraId="6304A8A3" w14:textId="688EC3B3" w:rsidR="00882101" w:rsidRDefault="0027620A" w:rsidP="00442798">
      <w:pPr>
        <w:spacing w:after="0"/>
        <w:rPr>
          <w:rFonts w:ascii="Arial" w:hAnsi="Arial" w:cs="Arial"/>
          <w:b/>
          <w:sz w:val="28"/>
        </w:rPr>
      </w:pPr>
      <w:r w:rsidRPr="008C0CFB">
        <w:rPr>
          <w:rFonts w:ascii="Arial" w:hAnsi="Arial" w:cs="Arial"/>
          <w:b/>
          <w:sz w:val="28"/>
        </w:rPr>
        <w:t>Energieholz</w:t>
      </w:r>
      <w:r w:rsidR="00AA1C11">
        <w:rPr>
          <w:rFonts w:ascii="Arial" w:hAnsi="Arial" w:cs="Arial"/>
          <w:b/>
          <w:sz w:val="28"/>
        </w:rPr>
        <w:t>-Monitoring</w:t>
      </w:r>
      <w:r w:rsidR="007A6C65">
        <w:rPr>
          <w:rFonts w:ascii="Arial" w:hAnsi="Arial" w:cs="Arial"/>
          <w:b/>
          <w:sz w:val="28"/>
        </w:rPr>
        <w:t xml:space="preserve">: </w:t>
      </w:r>
      <w:r w:rsidR="00AA1C11">
        <w:rPr>
          <w:rFonts w:ascii="Arial" w:hAnsi="Arial" w:cs="Arial"/>
          <w:b/>
          <w:sz w:val="28"/>
        </w:rPr>
        <w:t>Wertvolle Ressource richtig einsetzen</w:t>
      </w:r>
    </w:p>
    <w:p w14:paraId="5B104092" w14:textId="02389937" w:rsidR="00AA1C11" w:rsidRDefault="00AA1C11" w:rsidP="00442798">
      <w:pPr>
        <w:spacing w:after="0"/>
        <w:rPr>
          <w:rFonts w:ascii="Arial" w:hAnsi="Arial" w:cs="Arial"/>
          <w:b/>
          <w:sz w:val="28"/>
        </w:rPr>
      </w:pPr>
      <w:r>
        <w:rPr>
          <w:rFonts w:ascii="Arial" w:hAnsi="Arial" w:cs="Arial"/>
          <w:b/>
          <w:sz w:val="28"/>
        </w:rPr>
        <w:t>Energieholz am richtigen Ort und effizient einsetzen</w:t>
      </w:r>
    </w:p>
    <w:p w14:paraId="3AABC1C6" w14:textId="0282B768" w:rsidR="00AA1C11" w:rsidRDefault="00AA1C11" w:rsidP="00442798">
      <w:pPr>
        <w:spacing w:after="0"/>
        <w:rPr>
          <w:rFonts w:ascii="Arial" w:hAnsi="Arial" w:cs="Arial"/>
          <w:b/>
          <w:sz w:val="28"/>
        </w:rPr>
      </w:pPr>
      <w:r>
        <w:rPr>
          <w:rFonts w:ascii="Arial" w:hAnsi="Arial" w:cs="Arial"/>
          <w:b/>
          <w:sz w:val="28"/>
        </w:rPr>
        <w:t xml:space="preserve">Nicht mehr überall verfügbar: Ungenutztes Energieholz </w:t>
      </w:r>
    </w:p>
    <w:p w14:paraId="33492129" w14:textId="77777777" w:rsidR="0027620A" w:rsidRPr="008C0CFB" w:rsidRDefault="0027620A" w:rsidP="00442798">
      <w:pPr>
        <w:spacing w:after="0"/>
        <w:rPr>
          <w:rFonts w:ascii="Arial" w:hAnsi="Arial" w:cs="Arial"/>
          <w:b/>
          <w:sz w:val="28"/>
        </w:rPr>
      </w:pPr>
    </w:p>
    <w:p w14:paraId="153D1C9D" w14:textId="3A370E6E" w:rsidR="00EC0C6F" w:rsidRPr="008C0CFB" w:rsidRDefault="008276E4" w:rsidP="00FB7C48">
      <w:pPr>
        <w:spacing w:after="0"/>
        <w:rPr>
          <w:rFonts w:ascii="Arial" w:hAnsi="Arial" w:cs="Arial"/>
          <w:bCs/>
        </w:rPr>
      </w:pPr>
      <w:r>
        <w:rPr>
          <w:rFonts w:ascii="Arial" w:hAnsi="Arial" w:cs="Arial"/>
          <w:b/>
        </w:rPr>
        <w:t xml:space="preserve">Angesichts der stark gewachsenen Nachfrage </w:t>
      </w:r>
      <w:r w:rsidR="001D40AF">
        <w:rPr>
          <w:rFonts w:ascii="Arial" w:hAnsi="Arial" w:cs="Arial"/>
          <w:b/>
        </w:rPr>
        <w:t>wächst</w:t>
      </w:r>
      <w:r>
        <w:rPr>
          <w:rFonts w:ascii="Arial" w:hAnsi="Arial" w:cs="Arial"/>
          <w:b/>
        </w:rPr>
        <w:t xml:space="preserve"> die Sorge, ob unsere Wälder </w:t>
      </w:r>
      <w:r w:rsidR="00DA38C4">
        <w:rPr>
          <w:rFonts w:ascii="Arial" w:hAnsi="Arial" w:cs="Arial"/>
          <w:b/>
        </w:rPr>
        <w:t xml:space="preserve">auch künftig </w:t>
      </w:r>
      <w:r>
        <w:rPr>
          <w:rFonts w:ascii="Arial" w:hAnsi="Arial" w:cs="Arial"/>
          <w:b/>
        </w:rPr>
        <w:t xml:space="preserve">genug Energieholz liefern können. </w:t>
      </w:r>
      <w:r w:rsidR="00AA1C11">
        <w:rPr>
          <w:rFonts w:ascii="Arial" w:hAnsi="Arial" w:cs="Arial"/>
          <w:b/>
        </w:rPr>
        <w:t>Das</w:t>
      </w:r>
      <w:r w:rsidRPr="008276E4">
        <w:rPr>
          <w:rFonts w:ascii="Arial" w:hAnsi="Arial" w:cs="Arial"/>
          <w:b/>
        </w:rPr>
        <w:t xml:space="preserve"> Bundesamt für Umwelt BAFU </w:t>
      </w:r>
      <w:r w:rsidR="00AA1C11">
        <w:rPr>
          <w:rFonts w:ascii="Arial" w:hAnsi="Arial" w:cs="Arial"/>
          <w:b/>
        </w:rPr>
        <w:t xml:space="preserve">erteilte </w:t>
      </w:r>
      <w:r w:rsidRPr="008276E4">
        <w:rPr>
          <w:rFonts w:ascii="Arial" w:hAnsi="Arial" w:cs="Arial"/>
          <w:b/>
        </w:rPr>
        <w:t xml:space="preserve">Holzenergie Schweiz den Auftrag, eine Monitoring-Studie Holzenergie 2023 zu </w:t>
      </w:r>
      <w:r>
        <w:rPr>
          <w:rFonts w:ascii="Arial" w:hAnsi="Arial" w:cs="Arial"/>
          <w:b/>
        </w:rPr>
        <w:t xml:space="preserve">erstellen, </w:t>
      </w:r>
      <w:r w:rsidR="001D40AF">
        <w:rPr>
          <w:rFonts w:ascii="Arial" w:hAnsi="Arial" w:cs="Arial"/>
          <w:b/>
        </w:rPr>
        <w:t xml:space="preserve">um </w:t>
      </w:r>
      <w:r w:rsidR="00AA1C11">
        <w:rPr>
          <w:rFonts w:ascii="Arial" w:hAnsi="Arial" w:cs="Arial"/>
          <w:b/>
        </w:rPr>
        <w:t>d</w:t>
      </w:r>
      <w:r w:rsidR="001D40AF">
        <w:rPr>
          <w:rFonts w:ascii="Arial" w:hAnsi="Arial" w:cs="Arial"/>
          <w:b/>
        </w:rPr>
        <w:t xml:space="preserve">en heutigen Verbrauch, die noch </w:t>
      </w:r>
      <w:r w:rsidR="00AA1C11">
        <w:rPr>
          <w:rFonts w:ascii="Arial" w:hAnsi="Arial" w:cs="Arial"/>
          <w:b/>
        </w:rPr>
        <w:t>ungenutzt</w:t>
      </w:r>
      <w:r w:rsidR="001D40AF">
        <w:rPr>
          <w:rFonts w:ascii="Arial" w:hAnsi="Arial" w:cs="Arial"/>
          <w:b/>
        </w:rPr>
        <w:t>en Potenziale</w:t>
      </w:r>
      <w:r w:rsidR="00AA1C11">
        <w:rPr>
          <w:rFonts w:ascii="Arial" w:hAnsi="Arial" w:cs="Arial"/>
          <w:b/>
        </w:rPr>
        <w:t>,</w:t>
      </w:r>
      <w:r w:rsidR="001D40AF">
        <w:rPr>
          <w:rFonts w:ascii="Arial" w:hAnsi="Arial" w:cs="Arial"/>
          <w:b/>
        </w:rPr>
        <w:t xml:space="preserve"> die künftigen Verbräuche neuer Projekte </w:t>
      </w:r>
      <w:r w:rsidR="00AA1C11">
        <w:rPr>
          <w:rFonts w:ascii="Arial" w:hAnsi="Arial" w:cs="Arial"/>
          <w:b/>
        </w:rPr>
        <w:t xml:space="preserve">sowie die besten Verwendungsstrategien </w:t>
      </w:r>
      <w:r w:rsidR="001D40AF">
        <w:rPr>
          <w:rFonts w:ascii="Arial" w:hAnsi="Arial" w:cs="Arial"/>
          <w:b/>
        </w:rPr>
        <w:t xml:space="preserve">zu </w:t>
      </w:r>
      <w:r w:rsidR="00AA1C11">
        <w:rPr>
          <w:rFonts w:ascii="Arial" w:hAnsi="Arial" w:cs="Arial"/>
          <w:b/>
        </w:rPr>
        <w:t>klären</w:t>
      </w:r>
      <w:r w:rsidRPr="008276E4">
        <w:rPr>
          <w:rFonts w:ascii="Arial" w:hAnsi="Arial" w:cs="Arial"/>
          <w:b/>
        </w:rPr>
        <w:t>.</w:t>
      </w:r>
      <w:r w:rsidR="0015233D" w:rsidRPr="008C0CFB">
        <w:rPr>
          <w:rFonts w:ascii="Arial" w:hAnsi="Arial" w:cs="Arial"/>
          <w:b/>
        </w:rPr>
        <w:t xml:space="preserve"> </w:t>
      </w:r>
    </w:p>
    <w:p w14:paraId="078C55C1" w14:textId="77777777" w:rsidR="00EC0C6F" w:rsidRPr="008C0CFB" w:rsidRDefault="00EC0C6F" w:rsidP="00FB7C48">
      <w:pPr>
        <w:spacing w:after="0"/>
        <w:rPr>
          <w:rFonts w:ascii="Arial" w:hAnsi="Arial" w:cs="Arial"/>
          <w:bCs/>
        </w:rPr>
      </w:pPr>
    </w:p>
    <w:p w14:paraId="66EB0812" w14:textId="14AAB515" w:rsidR="00F60FFE" w:rsidRDefault="008276E4" w:rsidP="00FB7C48">
      <w:pPr>
        <w:spacing w:after="0"/>
        <w:rPr>
          <w:rFonts w:ascii="Arial" w:hAnsi="Arial" w:cs="Arial"/>
          <w:bCs/>
        </w:rPr>
      </w:pPr>
      <w:r>
        <w:rPr>
          <w:rFonts w:ascii="Arial" w:hAnsi="Arial" w:cs="Arial"/>
          <w:bCs/>
        </w:rPr>
        <w:t>Vorweg stellt Andreas Keel, Geschäftsführer von Holzenergie Schweiz und Autor der Monitoring-Studie Holzenergie 2023</w:t>
      </w:r>
      <w:r w:rsidR="00F60FFE">
        <w:rPr>
          <w:rFonts w:ascii="Arial" w:hAnsi="Arial" w:cs="Arial"/>
          <w:bCs/>
        </w:rPr>
        <w:t>,</w:t>
      </w:r>
      <w:r>
        <w:rPr>
          <w:rFonts w:ascii="Arial" w:hAnsi="Arial" w:cs="Arial"/>
          <w:bCs/>
        </w:rPr>
        <w:t xml:space="preserve"> eines klar: «Allen Unkenrufen zum Trotz </w:t>
      </w:r>
      <w:r w:rsidR="00AA1C11">
        <w:rPr>
          <w:rFonts w:ascii="Arial" w:hAnsi="Arial" w:cs="Arial"/>
          <w:bCs/>
        </w:rPr>
        <w:t>war</w:t>
      </w:r>
      <w:r w:rsidR="000C6734">
        <w:rPr>
          <w:rFonts w:ascii="Arial" w:hAnsi="Arial" w:cs="Arial"/>
          <w:bCs/>
        </w:rPr>
        <w:t xml:space="preserve"> die Versorgung mit Energieholz in den letzten drei Wintern ohne Preisexzesse jederzeit </w:t>
      </w:r>
      <w:r w:rsidR="00F60FFE">
        <w:rPr>
          <w:rFonts w:ascii="Arial" w:hAnsi="Arial" w:cs="Arial"/>
          <w:bCs/>
        </w:rPr>
        <w:t xml:space="preserve">und überall </w:t>
      </w:r>
      <w:r w:rsidR="000C6734">
        <w:rPr>
          <w:rFonts w:ascii="Arial" w:hAnsi="Arial" w:cs="Arial"/>
          <w:bCs/>
        </w:rPr>
        <w:t>sicher</w:t>
      </w:r>
      <w:r w:rsidR="00AA1C11">
        <w:rPr>
          <w:rFonts w:ascii="Arial" w:hAnsi="Arial" w:cs="Arial"/>
          <w:bCs/>
        </w:rPr>
        <w:t>gestellt</w:t>
      </w:r>
      <w:r w:rsidR="000C6734">
        <w:rPr>
          <w:rFonts w:ascii="Arial" w:hAnsi="Arial" w:cs="Arial"/>
          <w:bCs/>
        </w:rPr>
        <w:t xml:space="preserve">.» </w:t>
      </w:r>
      <w:r w:rsidR="00F60FFE">
        <w:rPr>
          <w:rFonts w:ascii="Arial" w:hAnsi="Arial" w:cs="Arial"/>
          <w:bCs/>
        </w:rPr>
        <w:t>Zwar</w:t>
      </w:r>
      <w:r w:rsidR="000C6734">
        <w:rPr>
          <w:rFonts w:ascii="Arial" w:hAnsi="Arial" w:cs="Arial"/>
          <w:bCs/>
        </w:rPr>
        <w:t xml:space="preserve"> </w:t>
      </w:r>
      <w:r w:rsidR="00F60FFE">
        <w:rPr>
          <w:rFonts w:ascii="Arial" w:hAnsi="Arial" w:cs="Arial"/>
          <w:bCs/>
        </w:rPr>
        <w:t xml:space="preserve">stiegen </w:t>
      </w:r>
      <w:r w:rsidR="00AA1C11">
        <w:rPr>
          <w:rFonts w:ascii="Arial" w:hAnsi="Arial" w:cs="Arial"/>
          <w:bCs/>
        </w:rPr>
        <w:t xml:space="preserve">auch </w:t>
      </w:r>
      <w:r w:rsidR="00F60FFE">
        <w:rPr>
          <w:rFonts w:ascii="Arial" w:hAnsi="Arial" w:cs="Arial"/>
          <w:bCs/>
        </w:rPr>
        <w:t xml:space="preserve">die Energieholzpreise, aber </w:t>
      </w:r>
      <w:r w:rsidR="00376B37">
        <w:rPr>
          <w:rFonts w:ascii="Arial" w:hAnsi="Arial" w:cs="Arial"/>
          <w:bCs/>
        </w:rPr>
        <w:t xml:space="preserve">deutlich </w:t>
      </w:r>
      <w:r w:rsidR="00F60FFE">
        <w:rPr>
          <w:rFonts w:ascii="Arial" w:hAnsi="Arial" w:cs="Arial"/>
          <w:bCs/>
        </w:rPr>
        <w:t>weniger als</w:t>
      </w:r>
      <w:r w:rsidR="000C6734">
        <w:rPr>
          <w:rFonts w:ascii="Arial" w:hAnsi="Arial" w:cs="Arial"/>
          <w:bCs/>
        </w:rPr>
        <w:t xml:space="preserve"> </w:t>
      </w:r>
      <w:r w:rsidR="00F60FFE">
        <w:rPr>
          <w:rFonts w:ascii="Arial" w:hAnsi="Arial" w:cs="Arial"/>
          <w:bCs/>
        </w:rPr>
        <w:t>die</w:t>
      </w:r>
      <w:r w:rsidR="000C6734">
        <w:rPr>
          <w:rFonts w:ascii="Arial" w:hAnsi="Arial" w:cs="Arial"/>
          <w:bCs/>
        </w:rPr>
        <w:t xml:space="preserve"> Heizöl</w:t>
      </w:r>
      <w:r w:rsidR="00F60FFE">
        <w:rPr>
          <w:rFonts w:ascii="Arial" w:hAnsi="Arial" w:cs="Arial"/>
          <w:bCs/>
        </w:rPr>
        <w:t>-</w:t>
      </w:r>
      <w:r w:rsidR="000C6734">
        <w:rPr>
          <w:rFonts w:ascii="Arial" w:hAnsi="Arial" w:cs="Arial"/>
          <w:bCs/>
        </w:rPr>
        <w:t>, Gas</w:t>
      </w:r>
      <w:r w:rsidR="00F60FFE">
        <w:rPr>
          <w:rFonts w:ascii="Arial" w:hAnsi="Arial" w:cs="Arial"/>
          <w:bCs/>
        </w:rPr>
        <w:t>-</w:t>
      </w:r>
      <w:r w:rsidR="000C6734">
        <w:rPr>
          <w:rFonts w:ascii="Arial" w:hAnsi="Arial" w:cs="Arial"/>
          <w:bCs/>
        </w:rPr>
        <w:t xml:space="preserve"> und Strom</w:t>
      </w:r>
      <w:r w:rsidR="00F60FFE">
        <w:rPr>
          <w:rFonts w:ascii="Arial" w:hAnsi="Arial" w:cs="Arial"/>
          <w:bCs/>
        </w:rPr>
        <w:t>preise</w:t>
      </w:r>
      <w:r w:rsidR="000C6734">
        <w:rPr>
          <w:rFonts w:ascii="Arial" w:hAnsi="Arial" w:cs="Arial"/>
          <w:bCs/>
        </w:rPr>
        <w:t xml:space="preserve">. </w:t>
      </w:r>
      <w:r w:rsidR="00F60FFE">
        <w:rPr>
          <w:rFonts w:ascii="Arial" w:hAnsi="Arial" w:cs="Arial"/>
          <w:bCs/>
        </w:rPr>
        <w:t>Die Förderung in den vergangenen Jahren und in jüng</w:t>
      </w:r>
      <w:r w:rsidR="00AA1C11">
        <w:rPr>
          <w:rFonts w:ascii="Arial" w:hAnsi="Arial" w:cs="Arial"/>
          <w:bCs/>
        </w:rPr>
        <w:t>erer</w:t>
      </w:r>
      <w:r w:rsidR="00F60FFE">
        <w:rPr>
          <w:rFonts w:ascii="Arial" w:hAnsi="Arial" w:cs="Arial"/>
          <w:bCs/>
        </w:rPr>
        <w:t xml:space="preserve"> Zeit die Pandemie sowie der Ukrainekrieg kurbelten die Nachfrage </w:t>
      </w:r>
      <w:r w:rsidR="00376B37">
        <w:rPr>
          <w:rFonts w:ascii="Arial" w:hAnsi="Arial" w:cs="Arial"/>
          <w:bCs/>
        </w:rPr>
        <w:t xml:space="preserve">nach Energieholz </w:t>
      </w:r>
      <w:r w:rsidR="00F60FFE">
        <w:rPr>
          <w:rFonts w:ascii="Arial" w:hAnsi="Arial" w:cs="Arial"/>
          <w:bCs/>
        </w:rPr>
        <w:t xml:space="preserve">an, so dass sie in einzelnen Regionen das Angebot überstieg. Der Markt kippte 2021 nach Jahrzehnten von einem Angebots- </w:t>
      </w:r>
      <w:r w:rsidR="001D40AF">
        <w:rPr>
          <w:rFonts w:ascii="Arial" w:hAnsi="Arial" w:cs="Arial"/>
          <w:bCs/>
        </w:rPr>
        <w:t>in</w:t>
      </w:r>
      <w:r w:rsidR="00F60FFE">
        <w:rPr>
          <w:rFonts w:ascii="Arial" w:hAnsi="Arial" w:cs="Arial"/>
          <w:bCs/>
        </w:rPr>
        <w:t xml:space="preserve"> einem Nachfragemarkt. </w:t>
      </w:r>
      <w:r w:rsidR="00B07A05">
        <w:rPr>
          <w:rFonts w:ascii="Arial" w:hAnsi="Arial" w:cs="Arial"/>
          <w:bCs/>
        </w:rPr>
        <w:t xml:space="preserve">Holzenergie wurde zu einem Fall für die Wirtschaftliche Landesversorgung. </w:t>
      </w:r>
      <w:r w:rsidR="00376B37">
        <w:rPr>
          <w:rFonts w:ascii="Arial" w:hAnsi="Arial" w:cs="Arial"/>
          <w:bCs/>
        </w:rPr>
        <w:t>«</w:t>
      </w:r>
      <w:r w:rsidR="00B07A05">
        <w:rPr>
          <w:rFonts w:ascii="Arial" w:hAnsi="Arial" w:cs="Arial"/>
          <w:bCs/>
        </w:rPr>
        <w:t xml:space="preserve">Wir diskutierten die Einrichtung von Pflichtlagern </w:t>
      </w:r>
      <w:r w:rsidR="001D40AF">
        <w:rPr>
          <w:rFonts w:ascii="Arial" w:hAnsi="Arial" w:cs="Arial"/>
          <w:bCs/>
        </w:rPr>
        <w:t xml:space="preserve">für Pellets </w:t>
      </w:r>
      <w:r w:rsidR="00B07A05">
        <w:rPr>
          <w:rFonts w:ascii="Arial" w:hAnsi="Arial" w:cs="Arial"/>
          <w:bCs/>
        </w:rPr>
        <w:t>und die Frage der regionalen Verfügbarkeit von Stückholz, Holzhackschnitzeln</w:t>
      </w:r>
      <w:r w:rsidR="001D40AF">
        <w:rPr>
          <w:rFonts w:ascii="Arial" w:hAnsi="Arial" w:cs="Arial"/>
          <w:bCs/>
        </w:rPr>
        <w:t xml:space="preserve"> sowie Pellets</w:t>
      </w:r>
      <w:r w:rsidR="00B07A05">
        <w:rPr>
          <w:rFonts w:ascii="Arial" w:hAnsi="Arial" w:cs="Arial"/>
          <w:bCs/>
        </w:rPr>
        <w:t xml:space="preserve">. Um die Fragen zu klären und Grundlagen für eine geordnete Entwicklung des Marktes in den nächsten Jahren zu schaffen, erhielten wir den Auftrag zur Erstellung des Monitoring-Berichts Holzenergie 2023.», erläutert Andreas Keel. Der Bericht </w:t>
      </w:r>
      <w:r w:rsidR="00FD49FF">
        <w:rPr>
          <w:rFonts w:ascii="Arial" w:hAnsi="Arial" w:cs="Arial"/>
          <w:bCs/>
        </w:rPr>
        <w:t>befasst sich mit</w:t>
      </w:r>
      <w:r w:rsidR="00B07A05">
        <w:rPr>
          <w:rFonts w:ascii="Arial" w:hAnsi="Arial" w:cs="Arial"/>
          <w:bCs/>
        </w:rPr>
        <w:t xml:space="preserve"> drei Fragenkomplexe</w:t>
      </w:r>
      <w:r w:rsidR="00FD49FF">
        <w:rPr>
          <w:rFonts w:ascii="Arial" w:hAnsi="Arial" w:cs="Arial"/>
          <w:bCs/>
        </w:rPr>
        <w:t>n</w:t>
      </w:r>
      <w:r w:rsidR="00B07A05">
        <w:rPr>
          <w:rFonts w:ascii="Arial" w:hAnsi="Arial" w:cs="Arial"/>
          <w:bCs/>
        </w:rPr>
        <w:t>.</w:t>
      </w:r>
    </w:p>
    <w:p w14:paraId="009D850B" w14:textId="4477614F" w:rsidR="00B07A05" w:rsidRPr="00376B37" w:rsidRDefault="00B07A05" w:rsidP="00376B37">
      <w:pPr>
        <w:pStyle w:val="Listenabsatz"/>
        <w:numPr>
          <w:ilvl w:val="0"/>
          <w:numId w:val="10"/>
        </w:numPr>
        <w:spacing w:after="0"/>
        <w:rPr>
          <w:rFonts w:ascii="Arial" w:hAnsi="Arial" w:cs="Arial"/>
          <w:bCs/>
        </w:rPr>
      </w:pPr>
      <w:r w:rsidRPr="00376B37">
        <w:rPr>
          <w:rFonts w:ascii="Arial" w:hAnsi="Arial" w:cs="Arial"/>
          <w:bCs/>
        </w:rPr>
        <w:t xml:space="preserve">Wieviel Energieholz aus welchen Quellen </w:t>
      </w:r>
      <w:r w:rsidR="001D40AF" w:rsidRPr="00376B37">
        <w:rPr>
          <w:rFonts w:ascii="Arial" w:hAnsi="Arial" w:cs="Arial"/>
          <w:bCs/>
        </w:rPr>
        <w:t xml:space="preserve">und in welchen Sortimenten </w:t>
      </w:r>
      <w:r w:rsidRPr="00376B37">
        <w:rPr>
          <w:rFonts w:ascii="Arial" w:hAnsi="Arial" w:cs="Arial"/>
          <w:bCs/>
        </w:rPr>
        <w:t>wird heute bereits genutzt?</w:t>
      </w:r>
      <w:r w:rsidR="001D40AF" w:rsidRPr="00376B37">
        <w:rPr>
          <w:rFonts w:ascii="Arial" w:hAnsi="Arial" w:cs="Arial"/>
          <w:bCs/>
        </w:rPr>
        <w:t xml:space="preserve"> Quellen sind der Wald, die Landschaftspflege, die Holzindustrie sowie das Altholz. Sortimente sind Stückholz, Holzhackschnitzel sowie Pellets.</w:t>
      </w:r>
    </w:p>
    <w:p w14:paraId="42445A81" w14:textId="2C02F633" w:rsidR="00B07A05" w:rsidRPr="00376B37" w:rsidRDefault="00B07A05" w:rsidP="00376B37">
      <w:pPr>
        <w:pStyle w:val="Listenabsatz"/>
        <w:numPr>
          <w:ilvl w:val="0"/>
          <w:numId w:val="10"/>
        </w:numPr>
        <w:spacing w:after="0"/>
        <w:rPr>
          <w:rFonts w:ascii="Arial" w:hAnsi="Arial" w:cs="Arial"/>
          <w:bCs/>
        </w:rPr>
      </w:pPr>
      <w:r w:rsidRPr="00376B37">
        <w:rPr>
          <w:rFonts w:ascii="Arial" w:hAnsi="Arial" w:cs="Arial"/>
          <w:bCs/>
        </w:rPr>
        <w:lastRenderedPageBreak/>
        <w:t>Wieviel Energieholz könnte noch zusätzlich genutzt werden, ohne höherwertige Sortimente zu konkurrenzieren, ohne den Wald zu übernutzen und ohne namhafte Importe?</w:t>
      </w:r>
    </w:p>
    <w:p w14:paraId="2E498256" w14:textId="6B911E51" w:rsidR="00B07A05" w:rsidRPr="00376B37" w:rsidRDefault="00B07A05" w:rsidP="00376B37">
      <w:pPr>
        <w:pStyle w:val="Listenabsatz"/>
        <w:numPr>
          <w:ilvl w:val="0"/>
          <w:numId w:val="10"/>
        </w:numPr>
        <w:spacing w:after="0"/>
        <w:rPr>
          <w:rFonts w:ascii="Arial" w:hAnsi="Arial" w:cs="Arial"/>
          <w:bCs/>
        </w:rPr>
      </w:pPr>
      <w:r w:rsidRPr="00376B37">
        <w:rPr>
          <w:rFonts w:ascii="Arial" w:hAnsi="Arial" w:cs="Arial"/>
          <w:bCs/>
        </w:rPr>
        <w:t xml:space="preserve">Wieviel Holz werden die bereits konkret geplanten Projekte </w:t>
      </w:r>
      <w:r w:rsidR="00D016F9" w:rsidRPr="00376B37">
        <w:rPr>
          <w:rFonts w:ascii="Arial" w:hAnsi="Arial" w:cs="Arial"/>
          <w:bCs/>
        </w:rPr>
        <w:t xml:space="preserve">sowie die bekannten Projektideen künftig </w:t>
      </w:r>
      <w:r w:rsidRPr="00376B37">
        <w:rPr>
          <w:rFonts w:ascii="Arial" w:hAnsi="Arial" w:cs="Arial"/>
          <w:bCs/>
        </w:rPr>
        <w:t>brauchen</w:t>
      </w:r>
      <w:r w:rsidR="00D016F9" w:rsidRPr="00376B37">
        <w:rPr>
          <w:rFonts w:ascii="Arial" w:hAnsi="Arial" w:cs="Arial"/>
          <w:bCs/>
        </w:rPr>
        <w:t>?</w:t>
      </w:r>
      <w:r w:rsidR="001D40AF" w:rsidRPr="00376B37">
        <w:rPr>
          <w:rFonts w:ascii="Arial" w:hAnsi="Arial" w:cs="Arial"/>
          <w:bCs/>
        </w:rPr>
        <w:t xml:space="preserve"> </w:t>
      </w:r>
    </w:p>
    <w:p w14:paraId="0C9840C8" w14:textId="77777777" w:rsidR="00F60FFE" w:rsidRDefault="00F60FFE" w:rsidP="00FB7C48">
      <w:pPr>
        <w:spacing w:after="0"/>
        <w:rPr>
          <w:rFonts w:ascii="Arial" w:hAnsi="Arial" w:cs="Arial"/>
          <w:bCs/>
        </w:rPr>
      </w:pPr>
    </w:p>
    <w:p w14:paraId="06605CA4" w14:textId="1780C62C" w:rsidR="00DA38C4" w:rsidRDefault="00376B37" w:rsidP="00D016F9">
      <w:pPr>
        <w:spacing w:after="0"/>
        <w:rPr>
          <w:rFonts w:ascii="Arial" w:hAnsi="Arial" w:cs="Arial"/>
        </w:rPr>
      </w:pPr>
      <w:r>
        <w:rPr>
          <w:rFonts w:ascii="Arial" w:hAnsi="Arial" w:cs="Arial"/>
          <w:bCs/>
        </w:rPr>
        <w:t>Das Monitoring Holzenergie 2023</w:t>
      </w:r>
      <w:r w:rsidR="00D016F9">
        <w:rPr>
          <w:rFonts w:ascii="Arial" w:hAnsi="Arial" w:cs="Arial"/>
          <w:bCs/>
        </w:rPr>
        <w:t xml:space="preserve"> </w:t>
      </w:r>
      <w:r w:rsidR="00B944C9">
        <w:rPr>
          <w:rFonts w:ascii="Arial" w:hAnsi="Arial" w:cs="Arial"/>
          <w:bCs/>
        </w:rPr>
        <w:t>beleuchtet</w:t>
      </w:r>
      <w:r w:rsidR="00D016F9">
        <w:rPr>
          <w:rFonts w:ascii="Arial" w:hAnsi="Arial" w:cs="Arial"/>
          <w:bCs/>
        </w:rPr>
        <w:t xml:space="preserve"> zudem Einflussfaktoren wie zum Beispiel</w:t>
      </w:r>
      <w:r w:rsidR="00D302B0" w:rsidRPr="008C0CFB">
        <w:rPr>
          <w:rFonts w:ascii="Arial" w:hAnsi="Arial" w:cs="Arial"/>
        </w:rPr>
        <w:t xml:space="preserve"> </w:t>
      </w:r>
      <w:r w:rsidR="00B944C9">
        <w:rPr>
          <w:rFonts w:ascii="Arial" w:hAnsi="Arial" w:cs="Arial"/>
        </w:rPr>
        <w:t xml:space="preserve">die </w:t>
      </w:r>
      <w:r w:rsidR="00D302B0" w:rsidRPr="008C0CFB">
        <w:rPr>
          <w:rFonts w:ascii="Arial" w:hAnsi="Arial" w:cs="Arial"/>
        </w:rPr>
        <w:t>klimatische</w:t>
      </w:r>
      <w:r w:rsidR="002D6CC4">
        <w:rPr>
          <w:rFonts w:ascii="Arial" w:hAnsi="Arial" w:cs="Arial"/>
        </w:rPr>
        <w:t>n</w:t>
      </w:r>
      <w:r w:rsidR="00D302B0" w:rsidRPr="008C0CFB">
        <w:rPr>
          <w:rFonts w:ascii="Arial" w:hAnsi="Arial" w:cs="Arial"/>
        </w:rPr>
        <w:t>, energetische</w:t>
      </w:r>
      <w:r w:rsidR="002D6CC4">
        <w:rPr>
          <w:rFonts w:ascii="Arial" w:hAnsi="Arial" w:cs="Arial"/>
        </w:rPr>
        <w:t>n</w:t>
      </w:r>
      <w:r w:rsidR="00D302B0" w:rsidRPr="008C0CFB">
        <w:rPr>
          <w:rFonts w:ascii="Arial" w:hAnsi="Arial" w:cs="Arial"/>
        </w:rPr>
        <w:t>, politische</w:t>
      </w:r>
      <w:r w:rsidR="002D6CC4">
        <w:rPr>
          <w:rFonts w:ascii="Arial" w:hAnsi="Arial" w:cs="Arial"/>
        </w:rPr>
        <w:t>n</w:t>
      </w:r>
      <w:r w:rsidR="00D302B0" w:rsidRPr="008C0CFB">
        <w:rPr>
          <w:rFonts w:ascii="Arial" w:hAnsi="Arial" w:cs="Arial"/>
        </w:rPr>
        <w:t xml:space="preserve"> </w:t>
      </w:r>
      <w:r w:rsidR="001D40AF">
        <w:rPr>
          <w:rFonts w:ascii="Arial" w:hAnsi="Arial" w:cs="Arial"/>
        </w:rPr>
        <w:t>oder</w:t>
      </w:r>
      <w:r w:rsidR="00D302B0" w:rsidRPr="008C0CFB">
        <w:rPr>
          <w:rFonts w:ascii="Arial" w:hAnsi="Arial" w:cs="Arial"/>
        </w:rPr>
        <w:t xml:space="preserve"> wirtschaftliche</w:t>
      </w:r>
      <w:r w:rsidR="002D6CC4">
        <w:rPr>
          <w:rFonts w:ascii="Arial" w:hAnsi="Arial" w:cs="Arial"/>
        </w:rPr>
        <w:t>n</w:t>
      </w:r>
      <w:r w:rsidR="00D302B0" w:rsidRPr="008C0CFB">
        <w:rPr>
          <w:rFonts w:ascii="Arial" w:hAnsi="Arial" w:cs="Arial"/>
        </w:rPr>
        <w:t xml:space="preserve"> Rahmenbedingungen</w:t>
      </w:r>
      <w:r w:rsidR="00D016F9">
        <w:rPr>
          <w:rFonts w:ascii="Arial" w:hAnsi="Arial" w:cs="Arial"/>
        </w:rPr>
        <w:t xml:space="preserve">. Diese beeinflussen den Preis und </w:t>
      </w:r>
      <w:r w:rsidR="00B944C9">
        <w:rPr>
          <w:rFonts w:ascii="Arial" w:hAnsi="Arial" w:cs="Arial"/>
        </w:rPr>
        <w:t xml:space="preserve">damit </w:t>
      </w:r>
      <w:r w:rsidR="00D016F9">
        <w:rPr>
          <w:rFonts w:ascii="Arial" w:hAnsi="Arial" w:cs="Arial"/>
        </w:rPr>
        <w:t xml:space="preserve">die zur Verfügung gestellten Holzmengen und -sortimente. </w:t>
      </w:r>
    </w:p>
    <w:p w14:paraId="48FFFA09" w14:textId="77777777" w:rsidR="00DA38C4" w:rsidRDefault="00DA38C4" w:rsidP="00D016F9">
      <w:pPr>
        <w:spacing w:after="0"/>
        <w:rPr>
          <w:rFonts w:ascii="Arial" w:hAnsi="Arial" w:cs="Arial"/>
        </w:rPr>
      </w:pPr>
    </w:p>
    <w:p w14:paraId="5C8F9DE5" w14:textId="27F4C976" w:rsidR="00DA38C4" w:rsidRPr="00DA38C4" w:rsidRDefault="00DA38C4" w:rsidP="00D016F9">
      <w:pPr>
        <w:spacing w:after="0"/>
        <w:rPr>
          <w:rFonts w:ascii="Arial" w:hAnsi="Arial" w:cs="Arial"/>
          <w:b/>
          <w:bCs/>
        </w:rPr>
      </w:pPr>
      <w:r w:rsidRPr="00DA38C4">
        <w:rPr>
          <w:rFonts w:ascii="Arial" w:hAnsi="Arial" w:cs="Arial"/>
          <w:b/>
          <w:bCs/>
        </w:rPr>
        <w:t>Grosse regionale Unterschiede in der Schweiz</w:t>
      </w:r>
    </w:p>
    <w:p w14:paraId="552946F4" w14:textId="77777777" w:rsidR="00DA38C4" w:rsidRDefault="00DA38C4" w:rsidP="00D016F9">
      <w:pPr>
        <w:spacing w:after="0"/>
        <w:rPr>
          <w:rFonts w:ascii="Arial" w:hAnsi="Arial" w:cs="Arial"/>
        </w:rPr>
      </w:pPr>
    </w:p>
    <w:p w14:paraId="2CAF6E77" w14:textId="49B48F92" w:rsidR="00555FEF" w:rsidRDefault="00F93A97" w:rsidP="00622A76">
      <w:pPr>
        <w:spacing w:after="0"/>
        <w:rPr>
          <w:rFonts w:ascii="Arial" w:hAnsi="Arial" w:cs="Arial"/>
          <w:bCs/>
        </w:rPr>
      </w:pPr>
      <w:r>
        <w:rPr>
          <w:rFonts w:ascii="Arial" w:hAnsi="Arial" w:cs="Arial"/>
          <w:bCs/>
        </w:rPr>
        <w:t xml:space="preserve">Der Monitoring-Bericht liefert detaillierte Zahlen über alle Kantone. </w:t>
      </w:r>
      <w:r w:rsidR="00622A76">
        <w:rPr>
          <w:rFonts w:ascii="Arial" w:hAnsi="Arial" w:cs="Arial"/>
          <w:bCs/>
        </w:rPr>
        <w:t>Es</w:t>
      </w:r>
      <w:r>
        <w:rPr>
          <w:rFonts w:ascii="Arial" w:hAnsi="Arial" w:cs="Arial"/>
          <w:bCs/>
        </w:rPr>
        <w:t xml:space="preserve"> stechen </w:t>
      </w:r>
      <w:r w:rsidR="00622A76">
        <w:rPr>
          <w:rFonts w:ascii="Arial" w:hAnsi="Arial" w:cs="Arial"/>
          <w:bCs/>
        </w:rPr>
        <w:t>beachtliche</w:t>
      </w:r>
      <w:r>
        <w:rPr>
          <w:rFonts w:ascii="Arial" w:hAnsi="Arial" w:cs="Arial"/>
          <w:bCs/>
        </w:rPr>
        <w:t xml:space="preserve"> Unterschiede ins Auge</w:t>
      </w:r>
      <w:r w:rsidR="00622A76">
        <w:rPr>
          <w:rFonts w:ascii="Arial" w:hAnsi="Arial" w:cs="Arial"/>
          <w:bCs/>
        </w:rPr>
        <w:t>:</w:t>
      </w:r>
      <w:r>
        <w:rPr>
          <w:rFonts w:ascii="Arial" w:hAnsi="Arial" w:cs="Arial"/>
          <w:bCs/>
        </w:rPr>
        <w:t xml:space="preserve"> In einigen Kantonen </w:t>
      </w:r>
      <w:r w:rsidR="00622A76">
        <w:rPr>
          <w:rFonts w:ascii="Arial" w:hAnsi="Arial" w:cs="Arial"/>
          <w:bCs/>
        </w:rPr>
        <w:t>ist</w:t>
      </w:r>
      <w:r>
        <w:rPr>
          <w:rFonts w:ascii="Arial" w:hAnsi="Arial" w:cs="Arial"/>
          <w:bCs/>
        </w:rPr>
        <w:t xml:space="preserve"> der Verbrauch </w:t>
      </w:r>
      <w:r w:rsidR="00AA1C11">
        <w:rPr>
          <w:rFonts w:ascii="Arial" w:hAnsi="Arial" w:cs="Arial"/>
          <w:bCs/>
        </w:rPr>
        <w:t xml:space="preserve">schon </w:t>
      </w:r>
      <w:r w:rsidR="00BA4A85">
        <w:rPr>
          <w:rFonts w:ascii="Arial" w:hAnsi="Arial" w:cs="Arial"/>
          <w:bCs/>
        </w:rPr>
        <w:t>heute</w:t>
      </w:r>
      <w:r>
        <w:rPr>
          <w:rFonts w:ascii="Arial" w:hAnsi="Arial" w:cs="Arial"/>
          <w:bCs/>
        </w:rPr>
        <w:t xml:space="preserve"> </w:t>
      </w:r>
      <w:r w:rsidR="00622A76">
        <w:rPr>
          <w:rFonts w:ascii="Arial" w:hAnsi="Arial" w:cs="Arial"/>
          <w:bCs/>
        </w:rPr>
        <w:t>grösser als das</w:t>
      </w:r>
      <w:r>
        <w:rPr>
          <w:rFonts w:ascii="Arial" w:hAnsi="Arial" w:cs="Arial"/>
          <w:bCs/>
        </w:rPr>
        <w:t xml:space="preserve"> vorhandene Potenzial. Andernorts besteht noch viel Luft nach oben. </w:t>
      </w:r>
      <w:r w:rsidR="00B944C9">
        <w:rPr>
          <w:rFonts w:ascii="Arial" w:hAnsi="Arial" w:cs="Arial"/>
          <w:bCs/>
        </w:rPr>
        <w:t>Dies sollte</w:t>
      </w:r>
      <w:r w:rsidR="00B944C9" w:rsidRPr="00B944C9">
        <w:rPr>
          <w:rFonts w:ascii="Arial" w:hAnsi="Arial" w:cs="Arial"/>
          <w:bCs/>
        </w:rPr>
        <w:t xml:space="preserve"> einen Einfluss auf die Verteilung und Grösse neuer Holzenergieprojekte haben. Denn es macht wenig Sinn, neue Anlagen dort zu bauen, wo bereits mehr Energieholz genutzt wird als zur Verfügung steht. Eine geschickte Strategie verhindert lange Transporte und Mangellagen in Extremsituationen. «Wir müssen damit rechnen, dass wir Mangellagen künftig nicht einfach mit Importen aus dem Ausland kompensieren können, da die anderen Länder im Rahmen der Energiewende ihr Holz selber brauchen werden», gibt Andreas Keel zu bedenken.</w:t>
      </w:r>
      <w:r w:rsidR="00BA4A85">
        <w:rPr>
          <w:rFonts w:ascii="Arial" w:hAnsi="Arial" w:cs="Arial"/>
          <w:bCs/>
        </w:rPr>
        <w:t xml:space="preserve"> Schweizweit präsentieren sich Verbrauch und Potenzial der verschiedenen Holzsortimente </w:t>
      </w:r>
      <w:r w:rsidR="00AA1C11">
        <w:rPr>
          <w:rFonts w:ascii="Arial" w:hAnsi="Arial" w:cs="Arial"/>
          <w:bCs/>
        </w:rPr>
        <w:t>wie folgt</w:t>
      </w:r>
      <w:r w:rsidR="00BA4A85">
        <w:rPr>
          <w:rFonts w:ascii="Arial" w:hAnsi="Arial" w:cs="Arial"/>
          <w:bCs/>
        </w:rPr>
        <w:t>:</w:t>
      </w:r>
    </w:p>
    <w:p w14:paraId="206CCA5A" w14:textId="77777777" w:rsidR="00622A76" w:rsidRDefault="00622A76" w:rsidP="00622A76">
      <w:pPr>
        <w:spacing w:after="0"/>
        <w:rPr>
          <w:rFonts w:ascii="Arial" w:hAnsi="Arial" w:cs="Arial"/>
          <w:bCs/>
        </w:rPr>
      </w:pPr>
    </w:p>
    <w:tbl>
      <w:tblPr>
        <w:tblStyle w:val="Tabellenraster"/>
        <w:tblW w:w="0" w:type="auto"/>
        <w:tblLook w:val="04A0" w:firstRow="1" w:lastRow="0" w:firstColumn="1" w:lastColumn="0" w:noHBand="0" w:noVBand="1"/>
      </w:tblPr>
      <w:tblGrid>
        <w:gridCol w:w="1806"/>
        <w:gridCol w:w="1230"/>
        <w:gridCol w:w="1186"/>
        <w:gridCol w:w="1232"/>
        <w:gridCol w:w="1188"/>
        <w:gridCol w:w="1232"/>
        <w:gridCol w:w="1188"/>
      </w:tblGrid>
      <w:tr w:rsidR="00622A76" w:rsidRPr="008C0CFB" w14:paraId="18F09A25" w14:textId="77777777" w:rsidTr="00E3781A">
        <w:tc>
          <w:tcPr>
            <w:tcW w:w="1806" w:type="dxa"/>
            <w:vMerge w:val="restart"/>
          </w:tcPr>
          <w:p w14:paraId="2314F5A6" w14:textId="77777777" w:rsidR="00622A76" w:rsidRPr="008C0CFB" w:rsidRDefault="00622A76" w:rsidP="00E3781A">
            <w:pPr>
              <w:spacing w:after="0"/>
              <w:rPr>
                <w:rFonts w:ascii="Arial" w:hAnsi="Arial" w:cs="Arial"/>
                <w:b/>
              </w:rPr>
            </w:pPr>
            <w:r w:rsidRPr="008C0CFB">
              <w:rPr>
                <w:rFonts w:ascii="Arial" w:hAnsi="Arial" w:cs="Arial"/>
                <w:b/>
              </w:rPr>
              <w:t>Energieholz-quelle</w:t>
            </w:r>
          </w:p>
        </w:tc>
        <w:tc>
          <w:tcPr>
            <w:tcW w:w="2416" w:type="dxa"/>
            <w:gridSpan w:val="2"/>
          </w:tcPr>
          <w:p w14:paraId="7620AEED" w14:textId="77777777" w:rsidR="00622A76" w:rsidRPr="008C0CFB" w:rsidRDefault="00622A76" w:rsidP="00E3781A">
            <w:pPr>
              <w:spacing w:after="0"/>
              <w:rPr>
                <w:rFonts w:ascii="Arial" w:hAnsi="Arial" w:cs="Arial"/>
                <w:b/>
              </w:rPr>
            </w:pPr>
            <w:r w:rsidRPr="008C0CFB">
              <w:rPr>
                <w:rFonts w:ascii="Arial" w:hAnsi="Arial" w:cs="Arial"/>
                <w:b/>
              </w:rPr>
              <w:t>Verbrauch 2022</w:t>
            </w:r>
          </w:p>
        </w:tc>
        <w:tc>
          <w:tcPr>
            <w:tcW w:w="2420" w:type="dxa"/>
            <w:gridSpan w:val="2"/>
          </w:tcPr>
          <w:p w14:paraId="5EE3C131" w14:textId="77777777" w:rsidR="00622A76" w:rsidRPr="008C0CFB" w:rsidRDefault="00622A76" w:rsidP="00E3781A">
            <w:pPr>
              <w:spacing w:after="0"/>
              <w:rPr>
                <w:rFonts w:ascii="Arial" w:hAnsi="Arial" w:cs="Arial"/>
                <w:b/>
              </w:rPr>
            </w:pPr>
            <w:r w:rsidRPr="008C0CFB">
              <w:rPr>
                <w:rFonts w:ascii="Arial" w:hAnsi="Arial" w:cs="Arial"/>
                <w:b/>
              </w:rPr>
              <w:t>Potenzial total</w:t>
            </w:r>
          </w:p>
        </w:tc>
        <w:tc>
          <w:tcPr>
            <w:tcW w:w="2420" w:type="dxa"/>
            <w:gridSpan w:val="2"/>
          </w:tcPr>
          <w:p w14:paraId="627761D2" w14:textId="77777777" w:rsidR="00622A76" w:rsidRPr="008C0CFB" w:rsidRDefault="00622A76" w:rsidP="00E3781A">
            <w:pPr>
              <w:spacing w:after="0"/>
              <w:rPr>
                <w:rFonts w:ascii="Arial" w:hAnsi="Arial" w:cs="Arial"/>
                <w:b/>
                <w:sz w:val="21"/>
                <w:szCs w:val="21"/>
              </w:rPr>
            </w:pPr>
            <w:r w:rsidRPr="008C0CFB">
              <w:rPr>
                <w:rFonts w:ascii="Arial" w:hAnsi="Arial" w:cs="Arial"/>
                <w:b/>
                <w:sz w:val="21"/>
                <w:szCs w:val="21"/>
              </w:rPr>
              <w:t>Potenzial verbleibend</w:t>
            </w:r>
          </w:p>
        </w:tc>
      </w:tr>
      <w:tr w:rsidR="00622A76" w:rsidRPr="008C0CFB" w14:paraId="54E99475" w14:textId="77777777" w:rsidTr="00E3781A">
        <w:tc>
          <w:tcPr>
            <w:tcW w:w="1806" w:type="dxa"/>
            <w:vMerge/>
          </w:tcPr>
          <w:p w14:paraId="615643A6" w14:textId="77777777" w:rsidR="00622A76" w:rsidRPr="008C0CFB" w:rsidRDefault="00622A76" w:rsidP="00E3781A">
            <w:pPr>
              <w:spacing w:after="0"/>
              <w:rPr>
                <w:rFonts w:ascii="Arial" w:hAnsi="Arial" w:cs="Arial"/>
                <w:bCs/>
              </w:rPr>
            </w:pPr>
          </w:p>
        </w:tc>
        <w:tc>
          <w:tcPr>
            <w:tcW w:w="1230" w:type="dxa"/>
          </w:tcPr>
          <w:p w14:paraId="456E18B6" w14:textId="77777777" w:rsidR="00622A76" w:rsidRPr="008C0CFB" w:rsidRDefault="00622A76" w:rsidP="00E3781A">
            <w:pPr>
              <w:spacing w:after="0"/>
              <w:rPr>
                <w:rFonts w:ascii="Arial" w:hAnsi="Arial" w:cs="Arial"/>
                <w:bCs/>
              </w:rPr>
            </w:pPr>
            <w:r w:rsidRPr="008C0CFB">
              <w:rPr>
                <w:rFonts w:ascii="Arial" w:hAnsi="Arial" w:cs="Arial"/>
                <w:bCs/>
              </w:rPr>
              <w:t>[m</w:t>
            </w:r>
            <w:r w:rsidRPr="008C0CFB">
              <w:rPr>
                <w:rFonts w:ascii="Arial" w:hAnsi="Arial" w:cs="Arial"/>
                <w:bCs/>
                <w:vertAlign w:val="superscript"/>
              </w:rPr>
              <w:t>3</w:t>
            </w:r>
            <w:r w:rsidRPr="008C0CFB">
              <w:rPr>
                <w:rFonts w:ascii="Arial" w:hAnsi="Arial" w:cs="Arial"/>
                <w:bCs/>
              </w:rPr>
              <w:t>/a]</w:t>
            </w:r>
          </w:p>
        </w:tc>
        <w:tc>
          <w:tcPr>
            <w:tcW w:w="1186" w:type="dxa"/>
          </w:tcPr>
          <w:p w14:paraId="2BB6DD0E" w14:textId="77777777" w:rsidR="00622A76" w:rsidRPr="008C0CFB" w:rsidRDefault="00622A76" w:rsidP="00E3781A">
            <w:pPr>
              <w:spacing w:after="0"/>
              <w:rPr>
                <w:rFonts w:ascii="Arial" w:hAnsi="Arial" w:cs="Arial"/>
                <w:bCs/>
              </w:rPr>
            </w:pPr>
            <w:r w:rsidRPr="008C0CFB">
              <w:rPr>
                <w:rFonts w:ascii="Arial" w:hAnsi="Arial" w:cs="Arial"/>
                <w:bCs/>
              </w:rPr>
              <w:t>[</w:t>
            </w:r>
            <w:proofErr w:type="spellStart"/>
            <w:r w:rsidRPr="008C0CFB">
              <w:rPr>
                <w:rFonts w:ascii="Arial" w:hAnsi="Arial" w:cs="Arial"/>
                <w:bCs/>
              </w:rPr>
              <w:t>GWh</w:t>
            </w:r>
            <w:proofErr w:type="spellEnd"/>
            <w:r w:rsidRPr="008C0CFB">
              <w:rPr>
                <w:rFonts w:ascii="Arial" w:hAnsi="Arial" w:cs="Arial"/>
                <w:bCs/>
              </w:rPr>
              <w:t>/a]</w:t>
            </w:r>
          </w:p>
        </w:tc>
        <w:tc>
          <w:tcPr>
            <w:tcW w:w="1232" w:type="dxa"/>
          </w:tcPr>
          <w:p w14:paraId="214B1AE2" w14:textId="77777777" w:rsidR="00622A76" w:rsidRPr="008C0CFB" w:rsidRDefault="00622A76" w:rsidP="00E3781A">
            <w:pPr>
              <w:spacing w:after="0"/>
              <w:rPr>
                <w:rFonts w:ascii="Arial" w:hAnsi="Arial" w:cs="Arial"/>
                <w:bCs/>
              </w:rPr>
            </w:pPr>
            <w:r w:rsidRPr="008C0CFB">
              <w:rPr>
                <w:rFonts w:ascii="Arial" w:hAnsi="Arial" w:cs="Arial"/>
                <w:bCs/>
              </w:rPr>
              <w:t>[m</w:t>
            </w:r>
            <w:r w:rsidRPr="008C0CFB">
              <w:rPr>
                <w:rFonts w:ascii="Arial" w:hAnsi="Arial" w:cs="Arial"/>
                <w:bCs/>
                <w:vertAlign w:val="superscript"/>
              </w:rPr>
              <w:t>3</w:t>
            </w:r>
            <w:r w:rsidRPr="008C0CFB">
              <w:rPr>
                <w:rFonts w:ascii="Arial" w:hAnsi="Arial" w:cs="Arial"/>
                <w:bCs/>
              </w:rPr>
              <w:t>/a]</w:t>
            </w:r>
          </w:p>
        </w:tc>
        <w:tc>
          <w:tcPr>
            <w:tcW w:w="1188" w:type="dxa"/>
          </w:tcPr>
          <w:p w14:paraId="59531DCD" w14:textId="77777777" w:rsidR="00622A76" w:rsidRPr="008C0CFB" w:rsidRDefault="00622A76" w:rsidP="00E3781A">
            <w:pPr>
              <w:spacing w:after="0"/>
              <w:rPr>
                <w:rFonts w:ascii="Arial" w:hAnsi="Arial" w:cs="Arial"/>
                <w:bCs/>
              </w:rPr>
            </w:pPr>
            <w:r w:rsidRPr="008C0CFB">
              <w:rPr>
                <w:rFonts w:ascii="Arial" w:hAnsi="Arial" w:cs="Arial"/>
                <w:bCs/>
              </w:rPr>
              <w:t>[</w:t>
            </w:r>
            <w:proofErr w:type="spellStart"/>
            <w:r w:rsidRPr="008C0CFB">
              <w:rPr>
                <w:rFonts w:ascii="Arial" w:hAnsi="Arial" w:cs="Arial"/>
                <w:bCs/>
              </w:rPr>
              <w:t>GWh</w:t>
            </w:r>
            <w:proofErr w:type="spellEnd"/>
            <w:r w:rsidRPr="008C0CFB">
              <w:rPr>
                <w:rFonts w:ascii="Arial" w:hAnsi="Arial" w:cs="Arial"/>
                <w:bCs/>
              </w:rPr>
              <w:t>/a]</w:t>
            </w:r>
          </w:p>
        </w:tc>
        <w:tc>
          <w:tcPr>
            <w:tcW w:w="1232" w:type="dxa"/>
          </w:tcPr>
          <w:p w14:paraId="64AB292C" w14:textId="77777777" w:rsidR="00622A76" w:rsidRPr="008C0CFB" w:rsidRDefault="00622A76" w:rsidP="00E3781A">
            <w:pPr>
              <w:spacing w:after="0"/>
              <w:rPr>
                <w:rFonts w:ascii="Arial" w:hAnsi="Arial" w:cs="Arial"/>
                <w:bCs/>
              </w:rPr>
            </w:pPr>
            <w:r w:rsidRPr="008C0CFB">
              <w:rPr>
                <w:rFonts w:ascii="Arial" w:hAnsi="Arial" w:cs="Arial"/>
                <w:bCs/>
              </w:rPr>
              <w:t>[m</w:t>
            </w:r>
            <w:r w:rsidRPr="008C0CFB">
              <w:rPr>
                <w:rFonts w:ascii="Arial" w:hAnsi="Arial" w:cs="Arial"/>
                <w:bCs/>
                <w:vertAlign w:val="superscript"/>
              </w:rPr>
              <w:t>3</w:t>
            </w:r>
            <w:r w:rsidRPr="008C0CFB">
              <w:rPr>
                <w:rFonts w:ascii="Arial" w:hAnsi="Arial" w:cs="Arial"/>
                <w:bCs/>
              </w:rPr>
              <w:t>/a]</w:t>
            </w:r>
          </w:p>
        </w:tc>
        <w:tc>
          <w:tcPr>
            <w:tcW w:w="1188" w:type="dxa"/>
          </w:tcPr>
          <w:p w14:paraId="155765D0" w14:textId="77777777" w:rsidR="00622A76" w:rsidRPr="008C0CFB" w:rsidRDefault="00622A76" w:rsidP="00E3781A">
            <w:pPr>
              <w:spacing w:after="0"/>
              <w:rPr>
                <w:rFonts w:ascii="Arial" w:hAnsi="Arial" w:cs="Arial"/>
                <w:bCs/>
              </w:rPr>
            </w:pPr>
            <w:r w:rsidRPr="008C0CFB">
              <w:rPr>
                <w:rFonts w:ascii="Arial" w:hAnsi="Arial" w:cs="Arial"/>
                <w:bCs/>
              </w:rPr>
              <w:t>[</w:t>
            </w:r>
            <w:proofErr w:type="spellStart"/>
            <w:r w:rsidRPr="008C0CFB">
              <w:rPr>
                <w:rFonts w:ascii="Arial" w:hAnsi="Arial" w:cs="Arial"/>
                <w:bCs/>
              </w:rPr>
              <w:t>GWh</w:t>
            </w:r>
            <w:proofErr w:type="spellEnd"/>
            <w:r w:rsidRPr="008C0CFB">
              <w:rPr>
                <w:rFonts w:ascii="Arial" w:hAnsi="Arial" w:cs="Arial"/>
                <w:bCs/>
              </w:rPr>
              <w:t>/a]</w:t>
            </w:r>
          </w:p>
        </w:tc>
      </w:tr>
      <w:tr w:rsidR="00622A76" w:rsidRPr="008C0CFB" w14:paraId="4D59C0C9" w14:textId="77777777" w:rsidTr="00E3781A">
        <w:tc>
          <w:tcPr>
            <w:tcW w:w="1806" w:type="dxa"/>
          </w:tcPr>
          <w:p w14:paraId="1FF139AD" w14:textId="77777777" w:rsidR="00622A76" w:rsidRPr="008C0CFB" w:rsidRDefault="00622A76" w:rsidP="00E3781A">
            <w:pPr>
              <w:spacing w:after="0"/>
              <w:rPr>
                <w:rFonts w:ascii="Arial" w:hAnsi="Arial" w:cs="Arial"/>
                <w:bCs/>
              </w:rPr>
            </w:pPr>
            <w:r w:rsidRPr="008C0CFB">
              <w:rPr>
                <w:rFonts w:ascii="Arial" w:hAnsi="Arial" w:cs="Arial"/>
                <w:bCs/>
              </w:rPr>
              <w:t>Waldholz</w:t>
            </w:r>
          </w:p>
        </w:tc>
        <w:tc>
          <w:tcPr>
            <w:tcW w:w="1230" w:type="dxa"/>
          </w:tcPr>
          <w:p w14:paraId="043E6E47"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2'607'500 </w:t>
            </w:r>
          </w:p>
        </w:tc>
        <w:tc>
          <w:tcPr>
            <w:tcW w:w="1186" w:type="dxa"/>
          </w:tcPr>
          <w:p w14:paraId="6A1957C2"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7'118 </w:t>
            </w:r>
          </w:p>
        </w:tc>
        <w:tc>
          <w:tcPr>
            <w:tcW w:w="1232" w:type="dxa"/>
          </w:tcPr>
          <w:p w14:paraId="69488FA1"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3'479'300 </w:t>
            </w:r>
          </w:p>
        </w:tc>
        <w:tc>
          <w:tcPr>
            <w:tcW w:w="1188" w:type="dxa"/>
          </w:tcPr>
          <w:p w14:paraId="1FBB11BF"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9'498 </w:t>
            </w:r>
          </w:p>
        </w:tc>
        <w:tc>
          <w:tcPr>
            <w:tcW w:w="1232" w:type="dxa"/>
          </w:tcPr>
          <w:p w14:paraId="66A48255" w14:textId="77777777" w:rsidR="00622A76" w:rsidRPr="008C0CFB" w:rsidRDefault="00622A76" w:rsidP="00E3781A">
            <w:pPr>
              <w:spacing w:after="0"/>
              <w:jc w:val="right"/>
              <w:rPr>
                <w:rFonts w:ascii="Arial" w:hAnsi="Arial" w:cs="Arial"/>
                <w:bCs/>
              </w:rPr>
            </w:pPr>
            <w:r w:rsidRPr="008C0CFB">
              <w:rPr>
                <w:rFonts w:ascii="Arial" w:hAnsi="Arial" w:cs="Arial"/>
                <w:bCs/>
              </w:rPr>
              <w:t>871’800</w:t>
            </w:r>
          </w:p>
        </w:tc>
        <w:tc>
          <w:tcPr>
            <w:tcW w:w="1188" w:type="dxa"/>
          </w:tcPr>
          <w:p w14:paraId="5028EEB0"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2'380 </w:t>
            </w:r>
          </w:p>
        </w:tc>
      </w:tr>
      <w:tr w:rsidR="00622A76" w:rsidRPr="008C0CFB" w14:paraId="0F50FCB0" w14:textId="77777777" w:rsidTr="00E3781A">
        <w:tc>
          <w:tcPr>
            <w:tcW w:w="1806" w:type="dxa"/>
          </w:tcPr>
          <w:p w14:paraId="0745B99D" w14:textId="77777777" w:rsidR="00622A76" w:rsidRPr="008C0CFB" w:rsidRDefault="00622A76" w:rsidP="00E3781A">
            <w:pPr>
              <w:spacing w:after="0"/>
              <w:rPr>
                <w:rFonts w:ascii="Arial" w:hAnsi="Arial" w:cs="Arial"/>
                <w:bCs/>
              </w:rPr>
            </w:pPr>
            <w:r w:rsidRPr="008C0CFB">
              <w:rPr>
                <w:rFonts w:ascii="Arial" w:hAnsi="Arial" w:cs="Arial"/>
                <w:bCs/>
              </w:rPr>
              <w:t>Landschaftsholz</w:t>
            </w:r>
          </w:p>
        </w:tc>
        <w:tc>
          <w:tcPr>
            <w:tcW w:w="1230" w:type="dxa"/>
          </w:tcPr>
          <w:p w14:paraId="18EE604E"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326'700 </w:t>
            </w:r>
          </w:p>
        </w:tc>
        <w:tc>
          <w:tcPr>
            <w:tcW w:w="1186" w:type="dxa"/>
          </w:tcPr>
          <w:p w14:paraId="0BF14085" w14:textId="77777777" w:rsidR="00622A76" w:rsidRPr="008C0CFB" w:rsidRDefault="00622A76" w:rsidP="00E3781A">
            <w:pPr>
              <w:spacing w:after="0"/>
              <w:jc w:val="right"/>
              <w:rPr>
                <w:rFonts w:ascii="Arial" w:hAnsi="Arial" w:cs="Arial"/>
                <w:bCs/>
              </w:rPr>
            </w:pPr>
            <w:r w:rsidRPr="008C0CFB">
              <w:rPr>
                <w:rFonts w:ascii="Arial" w:hAnsi="Arial" w:cs="Arial"/>
                <w:bCs/>
              </w:rPr>
              <w:t>892</w:t>
            </w:r>
          </w:p>
        </w:tc>
        <w:tc>
          <w:tcPr>
            <w:tcW w:w="1232" w:type="dxa"/>
          </w:tcPr>
          <w:p w14:paraId="4144D9ED"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456'800 </w:t>
            </w:r>
          </w:p>
        </w:tc>
        <w:tc>
          <w:tcPr>
            <w:tcW w:w="1188" w:type="dxa"/>
          </w:tcPr>
          <w:p w14:paraId="09692800"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1'247 </w:t>
            </w:r>
          </w:p>
        </w:tc>
        <w:tc>
          <w:tcPr>
            <w:tcW w:w="1232" w:type="dxa"/>
          </w:tcPr>
          <w:p w14:paraId="223045BE" w14:textId="77777777" w:rsidR="00622A76" w:rsidRPr="008C0CFB" w:rsidRDefault="00622A76" w:rsidP="00E3781A">
            <w:pPr>
              <w:spacing w:after="0"/>
              <w:jc w:val="right"/>
              <w:rPr>
                <w:rFonts w:ascii="Arial" w:hAnsi="Arial" w:cs="Arial"/>
                <w:bCs/>
              </w:rPr>
            </w:pPr>
            <w:r w:rsidRPr="008C0CFB">
              <w:rPr>
                <w:rFonts w:ascii="Arial" w:hAnsi="Arial" w:cs="Arial"/>
                <w:bCs/>
              </w:rPr>
              <w:t>130’100</w:t>
            </w:r>
          </w:p>
        </w:tc>
        <w:tc>
          <w:tcPr>
            <w:tcW w:w="1188" w:type="dxa"/>
          </w:tcPr>
          <w:p w14:paraId="30F05747" w14:textId="77777777" w:rsidR="00622A76" w:rsidRPr="008C0CFB" w:rsidRDefault="00622A76" w:rsidP="00E3781A">
            <w:pPr>
              <w:spacing w:after="0"/>
              <w:jc w:val="right"/>
              <w:rPr>
                <w:rFonts w:ascii="Arial" w:hAnsi="Arial" w:cs="Arial"/>
                <w:bCs/>
              </w:rPr>
            </w:pPr>
            <w:r w:rsidRPr="008C0CFB">
              <w:rPr>
                <w:rFonts w:ascii="Arial" w:hAnsi="Arial" w:cs="Arial"/>
                <w:bCs/>
              </w:rPr>
              <w:t>355</w:t>
            </w:r>
          </w:p>
        </w:tc>
      </w:tr>
      <w:tr w:rsidR="00622A76" w:rsidRPr="008C0CFB" w14:paraId="2BCB1FB8" w14:textId="77777777" w:rsidTr="00E3781A">
        <w:tc>
          <w:tcPr>
            <w:tcW w:w="1806" w:type="dxa"/>
          </w:tcPr>
          <w:p w14:paraId="30FAA0C3" w14:textId="77777777" w:rsidR="00622A76" w:rsidRPr="008C0CFB" w:rsidRDefault="00622A76" w:rsidP="00E3781A">
            <w:pPr>
              <w:spacing w:after="0"/>
              <w:rPr>
                <w:rFonts w:ascii="Arial" w:hAnsi="Arial" w:cs="Arial"/>
                <w:bCs/>
              </w:rPr>
            </w:pPr>
            <w:r w:rsidRPr="008C0CFB">
              <w:rPr>
                <w:rFonts w:ascii="Arial" w:hAnsi="Arial" w:cs="Arial"/>
                <w:bCs/>
              </w:rPr>
              <w:t>Restholz</w:t>
            </w:r>
          </w:p>
        </w:tc>
        <w:tc>
          <w:tcPr>
            <w:tcW w:w="1230" w:type="dxa"/>
          </w:tcPr>
          <w:p w14:paraId="19F634DB" w14:textId="77777777" w:rsidR="00622A76" w:rsidRPr="008C0CFB" w:rsidRDefault="00622A76" w:rsidP="00E3781A">
            <w:pPr>
              <w:spacing w:after="0"/>
              <w:jc w:val="right"/>
              <w:rPr>
                <w:rFonts w:ascii="Arial" w:hAnsi="Arial" w:cs="Arial"/>
                <w:bCs/>
              </w:rPr>
            </w:pPr>
            <w:r w:rsidRPr="008C0CFB">
              <w:rPr>
                <w:rFonts w:ascii="Arial" w:hAnsi="Arial" w:cs="Arial"/>
                <w:bCs/>
              </w:rPr>
              <w:t>1'383’300</w:t>
            </w:r>
          </w:p>
        </w:tc>
        <w:tc>
          <w:tcPr>
            <w:tcW w:w="1186" w:type="dxa"/>
          </w:tcPr>
          <w:p w14:paraId="15566B23"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4'049 </w:t>
            </w:r>
          </w:p>
        </w:tc>
        <w:tc>
          <w:tcPr>
            <w:tcW w:w="1232" w:type="dxa"/>
          </w:tcPr>
          <w:p w14:paraId="2F58CC52"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1'483'300 </w:t>
            </w:r>
          </w:p>
        </w:tc>
        <w:tc>
          <w:tcPr>
            <w:tcW w:w="1188" w:type="dxa"/>
          </w:tcPr>
          <w:p w14:paraId="7CA33EE0"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4'049 </w:t>
            </w:r>
          </w:p>
        </w:tc>
        <w:tc>
          <w:tcPr>
            <w:tcW w:w="1232" w:type="dxa"/>
          </w:tcPr>
          <w:p w14:paraId="1DB01675" w14:textId="77777777" w:rsidR="00622A76" w:rsidRPr="008C0CFB" w:rsidRDefault="00622A76" w:rsidP="00E3781A">
            <w:pPr>
              <w:spacing w:after="0"/>
              <w:jc w:val="right"/>
              <w:rPr>
                <w:rFonts w:ascii="Arial" w:hAnsi="Arial" w:cs="Arial"/>
                <w:bCs/>
              </w:rPr>
            </w:pPr>
            <w:r w:rsidRPr="008C0CFB">
              <w:rPr>
                <w:rFonts w:ascii="Arial" w:hAnsi="Arial" w:cs="Arial"/>
                <w:bCs/>
              </w:rPr>
              <w:t>-</w:t>
            </w:r>
          </w:p>
        </w:tc>
        <w:tc>
          <w:tcPr>
            <w:tcW w:w="1188" w:type="dxa"/>
          </w:tcPr>
          <w:p w14:paraId="075A3C62" w14:textId="77777777" w:rsidR="00622A76" w:rsidRPr="008C0CFB" w:rsidRDefault="00622A76" w:rsidP="00E3781A">
            <w:pPr>
              <w:spacing w:after="0"/>
              <w:jc w:val="right"/>
              <w:rPr>
                <w:rFonts w:ascii="Arial" w:hAnsi="Arial" w:cs="Arial"/>
                <w:bCs/>
              </w:rPr>
            </w:pPr>
            <w:r w:rsidRPr="008C0CFB">
              <w:rPr>
                <w:rFonts w:ascii="Arial" w:hAnsi="Arial" w:cs="Arial"/>
                <w:bCs/>
              </w:rPr>
              <w:t>-</w:t>
            </w:r>
          </w:p>
        </w:tc>
      </w:tr>
      <w:tr w:rsidR="00622A76" w:rsidRPr="008C0CFB" w14:paraId="36BD12D1" w14:textId="77777777" w:rsidTr="00E3781A">
        <w:tc>
          <w:tcPr>
            <w:tcW w:w="1806" w:type="dxa"/>
          </w:tcPr>
          <w:p w14:paraId="2A8C9E73" w14:textId="77777777" w:rsidR="00622A76" w:rsidRPr="008C0CFB" w:rsidRDefault="00622A76" w:rsidP="00E3781A">
            <w:pPr>
              <w:spacing w:after="0"/>
              <w:rPr>
                <w:rFonts w:ascii="Arial" w:hAnsi="Arial" w:cs="Arial"/>
                <w:bCs/>
              </w:rPr>
            </w:pPr>
            <w:r w:rsidRPr="008C0CFB">
              <w:rPr>
                <w:rFonts w:ascii="Arial" w:hAnsi="Arial" w:cs="Arial"/>
                <w:bCs/>
              </w:rPr>
              <w:t>Altholz</w:t>
            </w:r>
          </w:p>
        </w:tc>
        <w:tc>
          <w:tcPr>
            <w:tcW w:w="1230" w:type="dxa"/>
          </w:tcPr>
          <w:p w14:paraId="6FA77BFD"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1'082'600 </w:t>
            </w:r>
          </w:p>
        </w:tc>
        <w:tc>
          <w:tcPr>
            <w:tcW w:w="1186" w:type="dxa"/>
          </w:tcPr>
          <w:p w14:paraId="074C8D6D"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2'955 </w:t>
            </w:r>
          </w:p>
        </w:tc>
        <w:tc>
          <w:tcPr>
            <w:tcW w:w="1232" w:type="dxa"/>
          </w:tcPr>
          <w:p w14:paraId="1EDA5376"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1'364'300 </w:t>
            </w:r>
          </w:p>
        </w:tc>
        <w:tc>
          <w:tcPr>
            <w:tcW w:w="1188" w:type="dxa"/>
          </w:tcPr>
          <w:p w14:paraId="38C08692"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3'725 </w:t>
            </w:r>
          </w:p>
        </w:tc>
        <w:tc>
          <w:tcPr>
            <w:tcW w:w="1232" w:type="dxa"/>
          </w:tcPr>
          <w:p w14:paraId="4CF76B6D" w14:textId="77777777" w:rsidR="00622A76" w:rsidRPr="008C0CFB" w:rsidRDefault="00622A76" w:rsidP="00E3781A">
            <w:pPr>
              <w:spacing w:after="0"/>
              <w:jc w:val="right"/>
              <w:rPr>
                <w:rFonts w:ascii="Arial" w:hAnsi="Arial" w:cs="Arial"/>
                <w:bCs/>
              </w:rPr>
            </w:pPr>
            <w:r w:rsidRPr="008C0CFB">
              <w:rPr>
                <w:rFonts w:ascii="Arial" w:hAnsi="Arial" w:cs="Arial"/>
                <w:bCs/>
              </w:rPr>
              <w:t xml:space="preserve">281'700 </w:t>
            </w:r>
          </w:p>
        </w:tc>
        <w:tc>
          <w:tcPr>
            <w:tcW w:w="1188" w:type="dxa"/>
          </w:tcPr>
          <w:p w14:paraId="4AE10D03" w14:textId="77777777" w:rsidR="00622A76" w:rsidRPr="008C0CFB" w:rsidRDefault="00622A76" w:rsidP="00E3781A">
            <w:pPr>
              <w:spacing w:after="0"/>
              <w:jc w:val="right"/>
              <w:rPr>
                <w:rFonts w:ascii="Arial" w:hAnsi="Arial" w:cs="Arial"/>
                <w:bCs/>
              </w:rPr>
            </w:pPr>
            <w:r w:rsidRPr="008C0CFB">
              <w:rPr>
                <w:rFonts w:ascii="Arial" w:hAnsi="Arial" w:cs="Arial"/>
                <w:bCs/>
              </w:rPr>
              <w:t>770</w:t>
            </w:r>
          </w:p>
        </w:tc>
      </w:tr>
      <w:tr w:rsidR="00622A76" w:rsidRPr="008C0CFB" w14:paraId="18179434" w14:textId="77777777" w:rsidTr="00E3781A">
        <w:tc>
          <w:tcPr>
            <w:tcW w:w="1806" w:type="dxa"/>
          </w:tcPr>
          <w:p w14:paraId="0E87B6E4" w14:textId="77777777" w:rsidR="00622A76" w:rsidRPr="008C0CFB" w:rsidRDefault="00622A76" w:rsidP="00E3781A">
            <w:pPr>
              <w:spacing w:after="0"/>
              <w:rPr>
                <w:rFonts w:ascii="Arial" w:hAnsi="Arial" w:cs="Arial"/>
                <w:b/>
              </w:rPr>
            </w:pPr>
            <w:r w:rsidRPr="008C0CFB">
              <w:rPr>
                <w:rFonts w:ascii="Arial" w:hAnsi="Arial" w:cs="Arial"/>
                <w:b/>
              </w:rPr>
              <w:t>Total</w:t>
            </w:r>
          </w:p>
        </w:tc>
        <w:tc>
          <w:tcPr>
            <w:tcW w:w="1230" w:type="dxa"/>
          </w:tcPr>
          <w:p w14:paraId="07800FF0" w14:textId="77777777" w:rsidR="00622A76" w:rsidRPr="008C0CFB" w:rsidRDefault="00622A76" w:rsidP="00E3781A">
            <w:pPr>
              <w:spacing w:after="0"/>
              <w:jc w:val="right"/>
              <w:rPr>
                <w:rFonts w:ascii="Arial" w:hAnsi="Arial" w:cs="Arial"/>
                <w:b/>
              </w:rPr>
            </w:pPr>
            <w:r w:rsidRPr="008C0CFB">
              <w:rPr>
                <w:rFonts w:ascii="Arial" w:hAnsi="Arial" w:cs="Arial"/>
                <w:b/>
              </w:rPr>
              <w:t xml:space="preserve">5'500'100 </w:t>
            </w:r>
          </w:p>
        </w:tc>
        <w:tc>
          <w:tcPr>
            <w:tcW w:w="1186" w:type="dxa"/>
          </w:tcPr>
          <w:p w14:paraId="56F02C20" w14:textId="77777777" w:rsidR="00622A76" w:rsidRPr="008C0CFB" w:rsidRDefault="00622A76" w:rsidP="00E3781A">
            <w:pPr>
              <w:spacing w:after="0"/>
              <w:jc w:val="right"/>
              <w:rPr>
                <w:rFonts w:ascii="Arial" w:hAnsi="Arial" w:cs="Arial"/>
                <w:b/>
              </w:rPr>
            </w:pPr>
            <w:r w:rsidRPr="008C0CFB">
              <w:rPr>
                <w:rFonts w:ascii="Arial" w:hAnsi="Arial" w:cs="Arial"/>
                <w:b/>
              </w:rPr>
              <w:t xml:space="preserve">15'015 </w:t>
            </w:r>
          </w:p>
        </w:tc>
        <w:tc>
          <w:tcPr>
            <w:tcW w:w="1232" w:type="dxa"/>
          </w:tcPr>
          <w:p w14:paraId="56D99B78" w14:textId="77777777" w:rsidR="00622A76" w:rsidRPr="008C0CFB" w:rsidRDefault="00622A76" w:rsidP="00E3781A">
            <w:pPr>
              <w:spacing w:after="0"/>
              <w:jc w:val="right"/>
              <w:rPr>
                <w:rFonts w:ascii="Arial" w:hAnsi="Arial" w:cs="Arial"/>
                <w:b/>
              </w:rPr>
            </w:pPr>
            <w:r w:rsidRPr="008C0CFB">
              <w:rPr>
                <w:rFonts w:ascii="Arial" w:hAnsi="Arial" w:cs="Arial"/>
                <w:b/>
              </w:rPr>
              <w:t xml:space="preserve">6'783'700 </w:t>
            </w:r>
          </w:p>
        </w:tc>
        <w:tc>
          <w:tcPr>
            <w:tcW w:w="1188" w:type="dxa"/>
          </w:tcPr>
          <w:p w14:paraId="752E2E3F" w14:textId="77777777" w:rsidR="00622A76" w:rsidRPr="008C0CFB" w:rsidRDefault="00622A76" w:rsidP="00E3781A">
            <w:pPr>
              <w:spacing w:after="0"/>
              <w:jc w:val="right"/>
              <w:rPr>
                <w:rFonts w:ascii="Arial" w:hAnsi="Arial" w:cs="Arial"/>
                <w:b/>
              </w:rPr>
            </w:pPr>
            <w:r w:rsidRPr="008C0CFB">
              <w:rPr>
                <w:rFonts w:ascii="Arial" w:hAnsi="Arial" w:cs="Arial"/>
                <w:b/>
              </w:rPr>
              <w:t xml:space="preserve">18'520 </w:t>
            </w:r>
          </w:p>
        </w:tc>
        <w:tc>
          <w:tcPr>
            <w:tcW w:w="1232" w:type="dxa"/>
          </w:tcPr>
          <w:p w14:paraId="07B1170F" w14:textId="77777777" w:rsidR="00622A76" w:rsidRPr="008C0CFB" w:rsidRDefault="00622A76" w:rsidP="00E3781A">
            <w:pPr>
              <w:spacing w:after="0"/>
              <w:jc w:val="right"/>
              <w:rPr>
                <w:rFonts w:ascii="Arial" w:hAnsi="Arial" w:cs="Arial"/>
                <w:b/>
              </w:rPr>
            </w:pPr>
            <w:r w:rsidRPr="008C0CFB">
              <w:rPr>
                <w:rFonts w:ascii="Arial" w:hAnsi="Arial" w:cs="Arial"/>
                <w:b/>
              </w:rPr>
              <w:t xml:space="preserve">1'283'600 </w:t>
            </w:r>
          </w:p>
        </w:tc>
        <w:tc>
          <w:tcPr>
            <w:tcW w:w="1188" w:type="dxa"/>
          </w:tcPr>
          <w:p w14:paraId="2FCE4AC7" w14:textId="77777777" w:rsidR="00622A76" w:rsidRPr="008C0CFB" w:rsidRDefault="00622A76" w:rsidP="00E3781A">
            <w:pPr>
              <w:spacing w:after="0"/>
              <w:jc w:val="right"/>
              <w:rPr>
                <w:rFonts w:ascii="Arial" w:hAnsi="Arial" w:cs="Arial"/>
                <w:b/>
              </w:rPr>
            </w:pPr>
            <w:r w:rsidRPr="008C0CFB">
              <w:rPr>
                <w:rFonts w:ascii="Arial" w:hAnsi="Arial" w:cs="Arial"/>
                <w:b/>
              </w:rPr>
              <w:t>3'505</w:t>
            </w:r>
          </w:p>
        </w:tc>
      </w:tr>
    </w:tbl>
    <w:p w14:paraId="5B9D558C" w14:textId="77777777" w:rsidR="00622A76" w:rsidRPr="008C0CFB" w:rsidRDefault="00622A76" w:rsidP="00622A76">
      <w:pPr>
        <w:spacing w:after="0"/>
        <w:rPr>
          <w:rFonts w:ascii="Arial" w:hAnsi="Arial" w:cs="Arial"/>
          <w:bCs/>
        </w:rPr>
      </w:pPr>
    </w:p>
    <w:p w14:paraId="0AD65615" w14:textId="5E5354A3" w:rsidR="00622A76" w:rsidRDefault="001D0737" w:rsidP="00F16C72">
      <w:pPr>
        <w:spacing w:after="0"/>
        <w:rPr>
          <w:rFonts w:ascii="Arial" w:hAnsi="Arial" w:cs="Arial"/>
          <w:bCs/>
        </w:rPr>
      </w:pPr>
      <w:r>
        <w:rPr>
          <w:rFonts w:ascii="Arial" w:hAnsi="Arial" w:cs="Arial"/>
          <w:bCs/>
        </w:rPr>
        <w:t>D</w:t>
      </w:r>
      <w:r w:rsidR="00622A76" w:rsidRPr="008C0CFB">
        <w:rPr>
          <w:rFonts w:ascii="Arial" w:hAnsi="Arial" w:cs="Arial"/>
          <w:bCs/>
        </w:rPr>
        <w:t xml:space="preserve">er Wald </w:t>
      </w:r>
      <w:r w:rsidR="00F16C72">
        <w:rPr>
          <w:rFonts w:ascii="Arial" w:hAnsi="Arial" w:cs="Arial"/>
          <w:bCs/>
        </w:rPr>
        <w:t>bietet mit fast 900'000 m</w:t>
      </w:r>
      <w:r w:rsidR="00F16C72" w:rsidRPr="00F16C72">
        <w:rPr>
          <w:rFonts w:ascii="Arial" w:hAnsi="Arial" w:cs="Arial"/>
          <w:bCs/>
          <w:vertAlign w:val="superscript"/>
        </w:rPr>
        <w:t>3</w:t>
      </w:r>
      <w:r w:rsidR="00F16C72">
        <w:rPr>
          <w:rFonts w:ascii="Arial" w:hAnsi="Arial" w:cs="Arial"/>
          <w:bCs/>
        </w:rPr>
        <w:t xml:space="preserve"> </w:t>
      </w:r>
      <w:r w:rsidR="00622A76" w:rsidRPr="008C0CFB">
        <w:rPr>
          <w:rFonts w:ascii="Arial" w:hAnsi="Arial" w:cs="Arial"/>
          <w:bCs/>
        </w:rPr>
        <w:t>noch die grösste zusätzlich nutzbare Holzmenge.</w:t>
      </w:r>
      <w:r w:rsidR="00F16C72">
        <w:rPr>
          <w:rFonts w:ascii="Arial" w:hAnsi="Arial" w:cs="Arial"/>
          <w:bCs/>
        </w:rPr>
        <w:t xml:space="preserve"> Das gesamte, </w:t>
      </w:r>
      <w:r w:rsidR="00622A76" w:rsidRPr="008C0CFB">
        <w:rPr>
          <w:rFonts w:ascii="Arial" w:hAnsi="Arial" w:cs="Arial"/>
          <w:bCs/>
        </w:rPr>
        <w:t xml:space="preserve">zusätzlich nutzbare Wald-, Landschafts- und Altholzpotenzial </w:t>
      </w:r>
      <w:r w:rsidR="00F16C72">
        <w:rPr>
          <w:rFonts w:ascii="Arial" w:hAnsi="Arial" w:cs="Arial"/>
          <w:bCs/>
        </w:rPr>
        <w:t>liegt bei</w:t>
      </w:r>
      <w:r w:rsidR="00622A76" w:rsidRPr="008C0CFB">
        <w:rPr>
          <w:rFonts w:ascii="Arial" w:hAnsi="Arial" w:cs="Arial"/>
          <w:bCs/>
        </w:rPr>
        <w:t xml:space="preserve"> 1,28 Millionen Kubikmeter. </w:t>
      </w:r>
      <w:r>
        <w:rPr>
          <w:rFonts w:ascii="Arial" w:hAnsi="Arial" w:cs="Arial"/>
          <w:bCs/>
        </w:rPr>
        <w:t xml:space="preserve">«Wenn wir das Energieholz noch effizienter nutzen, erhöht sich das Potential </w:t>
      </w:r>
      <w:r w:rsidR="00F16C72">
        <w:rPr>
          <w:rFonts w:ascii="Arial" w:hAnsi="Arial" w:cs="Arial"/>
          <w:bCs/>
        </w:rPr>
        <w:t xml:space="preserve">entsprechend. </w:t>
      </w:r>
      <w:r w:rsidR="00F16C72">
        <w:rPr>
          <w:rFonts w:ascii="Arial" w:hAnsi="Arial" w:cs="Arial"/>
          <w:bCs/>
        </w:rPr>
        <w:t>Es hat noch genug Holz für alle heute vorhandenen Projekte und Projektideen. Dabei ist aber darauf zu achten, dass wir die</w:t>
      </w:r>
      <w:r w:rsidR="00F16C72" w:rsidRPr="008C0CFB">
        <w:rPr>
          <w:rFonts w:ascii="Arial" w:hAnsi="Arial" w:cs="Arial"/>
          <w:bCs/>
        </w:rPr>
        <w:t xml:space="preserve"> Absatzkanäle priorisieren</w:t>
      </w:r>
      <w:r w:rsidR="00F16C72">
        <w:rPr>
          <w:rFonts w:ascii="Arial" w:hAnsi="Arial" w:cs="Arial"/>
          <w:bCs/>
        </w:rPr>
        <w:t>, denn g</w:t>
      </w:r>
      <w:r w:rsidR="00F16C72">
        <w:rPr>
          <w:rFonts w:ascii="Arial" w:hAnsi="Arial" w:cs="Arial"/>
          <w:bCs/>
        </w:rPr>
        <w:t>ewisse Anwendungen machen weniger Sinn», betont Andreas Keel.</w:t>
      </w:r>
      <w:r w:rsidR="00F16C72">
        <w:rPr>
          <w:rFonts w:ascii="Arial" w:hAnsi="Arial" w:cs="Arial"/>
          <w:bCs/>
        </w:rPr>
        <w:t xml:space="preserve"> Er erhält für diese Aussage Unterstützung von der Politik.</w:t>
      </w:r>
    </w:p>
    <w:p w14:paraId="026B0DAC" w14:textId="77777777" w:rsidR="00622A76" w:rsidRDefault="00622A76" w:rsidP="00622A76">
      <w:pPr>
        <w:spacing w:after="0"/>
        <w:rPr>
          <w:rFonts w:ascii="Arial" w:hAnsi="Arial" w:cs="Arial"/>
          <w:bCs/>
        </w:rPr>
      </w:pPr>
    </w:p>
    <w:p w14:paraId="4F775CA9" w14:textId="03891367" w:rsidR="00622A76" w:rsidRPr="001D0737" w:rsidRDefault="00622A76" w:rsidP="00622A76">
      <w:pPr>
        <w:spacing w:after="0"/>
        <w:rPr>
          <w:rFonts w:ascii="Arial" w:hAnsi="Arial" w:cs="Arial"/>
          <w:b/>
        </w:rPr>
      </w:pPr>
      <w:r w:rsidRPr="001D0737">
        <w:rPr>
          <w:rFonts w:ascii="Arial" w:hAnsi="Arial" w:cs="Arial"/>
          <w:b/>
        </w:rPr>
        <w:t xml:space="preserve">Postulat </w:t>
      </w:r>
      <w:r w:rsidR="001D0737" w:rsidRPr="001D0737">
        <w:rPr>
          <w:rFonts w:ascii="Arial" w:hAnsi="Arial" w:cs="Arial"/>
          <w:b/>
        </w:rPr>
        <w:t>von Nationalrat Roger Nordmann will Prioritäten setzen</w:t>
      </w:r>
    </w:p>
    <w:p w14:paraId="55237E0F" w14:textId="77777777" w:rsidR="00622A76" w:rsidRPr="00555FEF" w:rsidRDefault="00622A76" w:rsidP="00622A76">
      <w:pPr>
        <w:spacing w:after="0"/>
        <w:rPr>
          <w:rFonts w:ascii="Arial" w:hAnsi="Arial" w:cs="Arial"/>
          <w:bCs/>
        </w:rPr>
      </w:pPr>
    </w:p>
    <w:p w14:paraId="4593A4F6" w14:textId="4160C093" w:rsidR="001D0737" w:rsidRDefault="001D0737" w:rsidP="001D0737">
      <w:pPr>
        <w:spacing w:after="0"/>
        <w:rPr>
          <w:rFonts w:ascii="Arial" w:hAnsi="Arial" w:cs="Arial"/>
          <w:bCs/>
        </w:rPr>
      </w:pPr>
      <w:r>
        <w:rPr>
          <w:rFonts w:ascii="Arial" w:hAnsi="Arial" w:cs="Arial"/>
          <w:bCs/>
        </w:rPr>
        <w:t xml:space="preserve">Das am 23. Januar 2024 von der </w:t>
      </w:r>
      <w:r w:rsidRPr="001D0737">
        <w:rPr>
          <w:rFonts w:ascii="Arial" w:hAnsi="Arial" w:cs="Arial"/>
          <w:bCs/>
        </w:rPr>
        <w:t xml:space="preserve">Kommission für Umwelt, Raumplanung und Energie </w:t>
      </w:r>
      <w:r>
        <w:rPr>
          <w:rFonts w:ascii="Arial" w:hAnsi="Arial" w:cs="Arial"/>
          <w:bCs/>
        </w:rPr>
        <w:t>des Nationalrates eingereichte Postulat «Nordmann» beauftragt den</w:t>
      </w:r>
      <w:r w:rsidRPr="001D0737">
        <w:rPr>
          <w:rFonts w:ascii="Arial" w:hAnsi="Arial" w:cs="Arial"/>
          <w:bCs/>
        </w:rPr>
        <w:t xml:space="preserve"> Bundesrat, eine Strategie zur Optimierung der Nutzung der Ressource Holz in der</w:t>
      </w:r>
      <w:r>
        <w:rPr>
          <w:rFonts w:ascii="Arial" w:hAnsi="Arial" w:cs="Arial"/>
          <w:bCs/>
        </w:rPr>
        <w:t xml:space="preserve"> </w:t>
      </w:r>
      <w:r w:rsidRPr="001D0737">
        <w:rPr>
          <w:rFonts w:ascii="Arial" w:hAnsi="Arial" w:cs="Arial"/>
          <w:bCs/>
        </w:rPr>
        <w:t>Schweiz vorzuschlagen</w:t>
      </w:r>
      <w:r>
        <w:rPr>
          <w:rFonts w:ascii="Arial" w:hAnsi="Arial" w:cs="Arial"/>
          <w:bCs/>
        </w:rPr>
        <w:t>. Dabei geht es vor allem um zwei Aspekte:</w:t>
      </w:r>
    </w:p>
    <w:p w14:paraId="3C02E1C5" w14:textId="31176B05" w:rsidR="001D0737" w:rsidRPr="00BA4A85" w:rsidRDefault="001D0737" w:rsidP="00BA4A85">
      <w:pPr>
        <w:pStyle w:val="Listenabsatz"/>
        <w:numPr>
          <w:ilvl w:val="0"/>
          <w:numId w:val="12"/>
        </w:numPr>
        <w:spacing w:after="0"/>
        <w:rPr>
          <w:rFonts w:ascii="Arial" w:hAnsi="Arial" w:cs="Arial"/>
          <w:bCs/>
        </w:rPr>
      </w:pPr>
      <w:r w:rsidRPr="00BA4A85">
        <w:rPr>
          <w:rFonts w:ascii="Arial" w:hAnsi="Arial" w:cs="Arial"/>
          <w:bCs/>
        </w:rPr>
        <w:t>Erhöhung und Rationalisierung der Nutzung der Ressource Holz in der Schweiz, unter Berücksichtigung</w:t>
      </w:r>
      <w:r w:rsidRPr="00BA4A85">
        <w:rPr>
          <w:rFonts w:ascii="Arial" w:hAnsi="Arial" w:cs="Arial"/>
          <w:bCs/>
        </w:rPr>
        <w:t xml:space="preserve"> </w:t>
      </w:r>
      <w:r w:rsidRPr="00BA4A85">
        <w:rPr>
          <w:rFonts w:ascii="Arial" w:hAnsi="Arial" w:cs="Arial"/>
          <w:bCs/>
        </w:rPr>
        <w:t>des Waldrechtes und der Artenvielfalt</w:t>
      </w:r>
    </w:p>
    <w:p w14:paraId="5B36D773" w14:textId="23B867F2" w:rsidR="001D0737" w:rsidRPr="00BA4A85" w:rsidRDefault="001D0737" w:rsidP="00BA4A85">
      <w:pPr>
        <w:pStyle w:val="Listenabsatz"/>
        <w:numPr>
          <w:ilvl w:val="0"/>
          <w:numId w:val="12"/>
        </w:numPr>
        <w:spacing w:after="0"/>
        <w:rPr>
          <w:rFonts w:ascii="Arial" w:hAnsi="Arial" w:cs="Arial"/>
          <w:bCs/>
        </w:rPr>
      </w:pPr>
      <w:r w:rsidRPr="00BA4A85">
        <w:rPr>
          <w:rFonts w:ascii="Arial" w:hAnsi="Arial" w:cs="Arial"/>
          <w:bCs/>
        </w:rPr>
        <w:lastRenderedPageBreak/>
        <w:t>Optimierung der Holznutzung bezüglich Geografie, Technologie</w:t>
      </w:r>
      <w:r w:rsidRPr="00BA4A85">
        <w:rPr>
          <w:rFonts w:ascii="Arial" w:hAnsi="Arial" w:cs="Arial"/>
          <w:bCs/>
        </w:rPr>
        <w:t xml:space="preserve"> </w:t>
      </w:r>
      <w:r w:rsidRPr="00BA4A85">
        <w:rPr>
          <w:rFonts w:ascii="Arial" w:hAnsi="Arial" w:cs="Arial"/>
          <w:bCs/>
        </w:rPr>
        <w:t>und Jahreszeit mit dem Ziel, einen breiteren Bedarf abdecken</w:t>
      </w:r>
      <w:r w:rsidRPr="00BA4A85">
        <w:rPr>
          <w:rFonts w:ascii="Arial" w:hAnsi="Arial" w:cs="Arial"/>
          <w:bCs/>
        </w:rPr>
        <w:t xml:space="preserve"> </w:t>
      </w:r>
      <w:r w:rsidRPr="00BA4A85">
        <w:rPr>
          <w:rFonts w:ascii="Arial" w:hAnsi="Arial" w:cs="Arial"/>
          <w:bCs/>
        </w:rPr>
        <w:t xml:space="preserve">zu können, insbesondere im Bereich des Heizens. </w:t>
      </w:r>
      <w:r w:rsidR="00B944C9" w:rsidRPr="00BA4A85">
        <w:rPr>
          <w:rFonts w:ascii="Arial" w:hAnsi="Arial" w:cs="Arial"/>
          <w:bCs/>
        </w:rPr>
        <w:t xml:space="preserve">Dabei soll es um drei </w:t>
      </w:r>
      <w:r w:rsidR="00F16C72" w:rsidRPr="00BA4A85">
        <w:rPr>
          <w:rFonts w:ascii="Arial" w:hAnsi="Arial" w:cs="Arial"/>
          <w:bCs/>
        </w:rPr>
        <w:t xml:space="preserve">Schwerpunkte </w:t>
      </w:r>
      <w:r w:rsidR="00B944C9" w:rsidRPr="00BA4A85">
        <w:rPr>
          <w:rFonts w:ascii="Arial" w:hAnsi="Arial" w:cs="Arial"/>
          <w:bCs/>
        </w:rPr>
        <w:t>gehen. Erstens</w:t>
      </w:r>
      <w:r w:rsidR="00F16C72" w:rsidRPr="00BA4A85">
        <w:rPr>
          <w:rFonts w:ascii="Arial" w:hAnsi="Arial" w:cs="Arial"/>
          <w:bCs/>
        </w:rPr>
        <w:t xml:space="preserve"> </w:t>
      </w:r>
      <w:r w:rsidR="00B944C9" w:rsidRPr="00BA4A85">
        <w:rPr>
          <w:rFonts w:ascii="Arial" w:hAnsi="Arial" w:cs="Arial"/>
          <w:bCs/>
        </w:rPr>
        <w:t>um d</w:t>
      </w:r>
      <w:r w:rsidRPr="00BA4A85">
        <w:rPr>
          <w:rFonts w:ascii="Arial" w:hAnsi="Arial" w:cs="Arial"/>
          <w:bCs/>
        </w:rPr>
        <w:t>uale Fernwärmesysteme, die im Sommer und in den Übergangsjahreszeiten andere</w:t>
      </w:r>
      <w:r w:rsidR="00F16C72" w:rsidRPr="00BA4A85">
        <w:rPr>
          <w:rFonts w:ascii="Arial" w:hAnsi="Arial" w:cs="Arial"/>
          <w:bCs/>
        </w:rPr>
        <w:t xml:space="preserve"> </w:t>
      </w:r>
      <w:r w:rsidRPr="00BA4A85">
        <w:rPr>
          <w:rFonts w:ascii="Arial" w:hAnsi="Arial" w:cs="Arial"/>
          <w:bCs/>
        </w:rPr>
        <w:t>Wärmequellen wie Wärmepumpen oder solarthermische Anlagen</w:t>
      </w:r>
      <w:r w:rsidR="00B944C9" w:rsidRPr="00BA4A85">
        <w:rPr>
          <w:rFonts w:ascii="Arial" w:hAnsi="Arial" w:cs="Arial"/>
          <w:bCs/>
        </w:rPr>
        <w:t xml:space="preserve"> nutzen, zweitens</w:t>
      </w:r>
      <w:r w:rsidR="00F16C72" w:rsidRPr="00BA4A85">
        <w:rPr>
          <w:rFonts w:ascii="Arial" w:hAnsi="Arial" w:cs="Arial"/>
          <w:bCs/>
        </w:rPr>
        <w:t xml:space="preserve"> </w:t>
      </w:r>
      <w:r w:rsidR="00B944C9" w:rsidRPr="00BA4A85">
        <w:rPr>
          <w:rFonts w:ascii="Arial" w:hAnsi="Arial" w:cs="Arial"/>
          <w:bCs/>
        </w:rPr>
        <w:t xml:space="preserve">um </w:t>
      </w:r>
      <w:r w:rsidR="00F16C72" w:rsidRPr="00BA4A85">
        <w:rPr>
          <w:rFonts w:ascii="Arial" w:hAnsi="Arial" w:cs="Arial"/>
          <w:bCs/>
        </w:rPr>
        <w:t>die F</w:t>
      </w:r>
      <w:r w:rsidRPr="00BA4A85">
        <w:rPr>
          <w:rFonts w:ascii="Arial" w:hAnsi="Arial" w:cs="Arial"/>
          <w:bCs/>
        </w:rPr>
        <w:t>örderung der Entwicklung holzbetriebener Blockheizkraftwerke</w:t>
      </w:r>
      <w:r w:rsidR="00F16C72" w:rsidRPr="00BA4A85">
        <w:rPr>
          <w:rFonts w:ascii="Arial" w:hAnsi="Arial" w:cs="Arial"/>
          <w:bCs/>
        </w:rPr>
        <w:t xml:space="preserve"> sowie </w:t>
      </w:r>
      <w:r w:rsidR="00B944C9" w:rsidRPr="00BA4A85">
        <w:rPr>
          <w:rFonts w:ascii="Arial" w:hAnsi="Arial" w:cs="Arial"/>
          <w:bCs/>
        </w:rPr>
        <w:t xml:space="preserve">drittens um </w:t>
      </w:r>
      <w:r w:rsidRPr="00BA4A85">
        <w:rPr>
          <w:rFonts w:ascii="Arial" w:hAnsi="Arial" w:cs="Arial"/>
          <w:bCs/>
        </w:rPr>
        <w:t>direkte Anreize zur Verbesserung der Energieeffizienz von Gebäuden, die bereits über ein</w:t>
      </w:r>
      <w:r w:rsidRPr="00BA4A85">
        <w:rPr>
          <w:rFonts w:ascii="Arial" w:hAnsi="Arial" w:cs="Arial"/>
          <w:bCs/>
        </w:rPr>
        <w:t xml:space="preserve"> </w:t>
      </w:r>
      <w:r w:rsidRPr="00BA4A85">
        <w:rPr>
          <w:rFonts w:ascii="Arial" w:hAnsi="Arial" w:cs="Arial"/>
          <w:bCs/>
        </w:rPr>
        <w:t>Holzheizsystem verfügen.</w:t>
      </w:r>
    </w:p>
    <w:p w14:paraId="71A07C0F" w14:textId="77777777" w:rsidR="001D0737" w:rsidRDefault="001D0737" w:rsidP="00CA3912">
      <w:pPr>
        <w:spacing w:after="0"/>
        <w:rPr>
          <w:rFonts w:ascii="Arial" w:hAnsi="Arial" w:cs="Arial"/>
          <w:bCs/>
        </w:rPr>
      </w:pPr>
    </w:p>
    <w:p w14:paraId="041F6B15" w14:textId="2A6BB6A0" w:rsidR="001D0737" w:rsidRDefault="008D1546" w:rsidP="001D0737">
      <w:pPr>
        <w:spacing w:after="0"/>
        <w:rPr>
          <w:rFonts w:ascii="Arial" w:hAnsi="Arial" w:cs="Arial"/>
          <w:bCs/>
        </w:rPr>
      </w:pPr>
      <w:r>
        <w:rPr>
          <w:rFonts w:ascii="Arial" w:hAnsi="Arial" w:cs="Arial"/>
          <w:bCs/>
        </w:rPr>
        <w:t xml:space="preserve">Konkret bedeutet dies: </w:t>
      </w:r>
      <w:r w:rsidR="002E16F1" w:rsidRPr="008C0CFB">
        <w:rPr>
          <w:rFonts w:ascii="Arial" w:hAnsi="Arial" w:cs="Arial"/>
          <w:bCs/>
        </w:rPr>
        <w:t xml:space="preserve">Erste Priorität </w:t>
      </w:r>
      <w:r w:rsidR="00A13C0E" w:rsidRPr="008C0CFB">
        <w:rPr>
          <w:rFonts w:ascii="Arial" w:hAnsi="Arial" w:cs="Arial"/>
          <w:bCs/>
        </w:rPr>
        <w:t>ha</w:t>
      </w:r>
      <w:r w:rsidR="00BA4A85">
        <w:rPr>
          <w:rFonts w:ascii="Arial" w:hAnsi="Arial" w:cs="Arial"/>
          <w:bCs/>
        </w:rPr>
        <w:t>ben die Effizienzsteigerungsmassnahmen sowie</w:t>
      </w:r>
      <w:r w:rsidR="002E16F1" w:rsidRPr="008C0CFB">
        <w:rPr>
          <w:rFonts w:ascii="Arial" w:hAnsi="Arial" w:cs="Arial"/>
          <w:bCs/>
        </w:rPr>
        <w:t xml:space="preserve"> die dezentrale</w:t>
      </w:r>
      <w:r w:rsidR="00CA3912" w:rsidRPr="008C0CFB">
        <w:rPr>
          <w:rFonts w:ascii="Arial" w:hAnsi="Arial" w:cs="Arial"/>
          <w:bCs/>
        </w:rPr>
        <w:t xml:space="preserve"> </w:t>
      </w:r>
      <w:r w:rsidR="002E16F1" w:rsidRPr="008C0CFB">
        <w:rPr>
          <w:rFonts w:ascii="Arial" w:hAnsi="Arial" w:cs="Arial"/>
          <w:bCs/>
        </w:rPr>
        <w:t>Nutzung</w:t>
      </w:r>
      <w:r>
        <w:rPr>
          <w:rFonts w:ascii="Arial" w:hAnsi="Arial" w:cs="Arial"/>
          <w:bCs/>
        </w:rPr>
        <w:t xml:space="preserve"> in kleinen und mittleren Anlagen bis maximal 5, in besonderen Fällen </w:t>
      </w:r>
      <w:r w:rsidR="00B944C9">
        <w:rPr>
          <w:rFonts w:ascii="Arial" w:hAnsi="Arial" w:cs="Arial"/>
          <w:bCs/>
        </w:rPr>
        <w:t xml:space="preserve">(Blockheizkraftwerke) bis </w:t>
      </w:r>
      <w:r>
        <w:rPr>
          <w:rFonts w:ascii="Arial" w:hAnsi="Arial" w:cs="Arial"/>
          <w:bCs/>
        </w:rPr>
        <w:t>10 MW Leistung</w:t>
      </w:r>
      <w:r w:rsidR="00CA3912" w:rsidRPr="008C0CFB">
        <w:rPr>
          <w:rFonts w:ascii="Arial" w:hAnsi="Arial" w:cs="Arial"/>
          <w:bCs/>
        </w:rPr>
        <w:t>. S</w:t>
      </w:r>
      <w:r w:rsidR="002E16F1" w:rsidRPr="008C0CFB">
        <w:rPr>
          <w:rFonts w:ascii="Arial" w:hAnsi="Arial" w:cs="Arial"/>
          <w:bCs/>
        </w:rPr>
        <w:t>ehr grosse Anlagen (mehr als 10</w:t>
      </w:r>
      <w:r w:rsidR="00731C26" w:rsidRPr="008C0CFB">
        <w:rPr>
          <w:rFonts w:ascii="Arial" w:hAnsi="Arial" w:cs="Arial"/>
          <w:bCs/>
        </w:rPr>
        <w:t xml:space="preserve"> Megawatt </w:t>
      </w:r>
      <w:r w:rsidR="002E16F1" w:rsidRPr="008C0CFB">
        <w:rPr>
          <w:rFonts w:ascii="Arial" w:hAnsi="Arial" w:cs="Arial"/>
          <w:bCs/>
        </w:rPr>
        <w:t xml:space="preserve">Leistung) </w:t>
      </w:r>
      <w:r w:rsidR="00CA3912" w:rsidRPr="008C0CFB">
        <w:rPr>
          <w:rFonts w:ascii="Arial" w:hAnsi="Arial" w:cs="Arial"/>
          <w:bCs/>
        </w:rPr>
        <w:t>sind zu vermeiden, da sie lange Holztransportwege verursachen und</w:t>
      </w:r>
      <w:r w:rsidR="002E16F1" w:rsidRPr="008C0CFB">
        <w:rPr>
          <w:rFonts w:ascii="Arial" w:hAnsi="Arial" w:cs="Arial"/>
          <w:bCs/>
        </w:rPr>
        <w:t xml:space="preserve"> «Klumpenrisiken» </w:t>
      </w:r>
      <w:r w:rsidR="00A3354A" w:rsidRPr="008C0CFB">
        <w:rPr>
          <w:rFonts w:ascii="Arial" w:hAnsi="Arial" w:cs="Arial"/>
          <w:bCs/>
        </w:rPr>
        <w:t>darstellen</w:t>
      </w:r>
      <w:r w:rsidR="002E16F1" w:rsidRPr="008C0CFB">
        <w:rPr>
          <w:rFonts w:ascii="Arial" w:hAnsi="Arial" w:cs="Arial"/>
          <w:bCs/>
        </w:rPr>
        <w:t xml:space="preserve">. </w:t>
      </w:r>
      <w:r w:rsidR="00CA3912" w:rsidRPr="008C0CFB">
        <w:rPr>
          <w:rFonts w:ascii="Arial" w:hAnsi="Arial" w:cs="Arial"/>
          <w:bCs/>
        </w:rPr>
        <w:t>Pelletheizungen sollten eine Leistung von 1'000 kW nicht übersteigen.</w:t>
      </w:r>
      <w:r>
        <w:rPr>
          <w:rFonts w:ascii="Arial" w:hAnsi="Arial" w:cs="Arial"/>
          <w:bCs/>
        </w:rPr>
        <w:t xml:space="preserve"> «Die Diskussionen, die wir im Rahmen der Verwendungsstrategien </w:t>
      </w:r>
      <w:r w:rsidR="007A6C65">
        <w:rPr>
          <w:rFonts w:ascii="Arial" w:hAnsi="Arial" w:cs="Arial"/>
          <w:bCs/>
        </w:rPr>
        <w:t xml:space="preserve">und des Monitorings </w:t>
      </w:r>
      <w:r>
        <w:rPr>
          <w:rFonts w:ascii="Arial" w:hAnsi="Arial" w:cs="Arial"/>
          <w:bCs/>
        </w:rPr>
        <w:t>seit 2021 führen, haben glücklicherweise dazu geführt, dass einige sehr grosse Projektideen fallengelassen oder deutlich verkleinert wurden.», fasst Andreas Keel die Situation zusammen</w:t>
      </w:r>
      <w:r w:rsidR="00B944C9">
        <w:rPr>
          <w:rFonts w:ascii="Arial" w:hAnsi="Arial" w:cs="Arial"/>
          <w:bCs/>
        </w:rPr>
        <w:t xml:space="preserve"> und macht auch zur Optimierung </w:t>
      </w:r>
      <w:r w:rsidR="001D0737">
        <w:rPr>
          <w:rFonts w:ascii="Arial" w:hAnsi="Arial" w:cs="Arial"/>
          <w:bCs/>
        </w:rPr>
        <w:t>konkrete Aussagen: «</w:t>
      </w:r>
      <w:r w:rsidR="001D0737" w:rsidRPr="008C0CFB">
        <w:rPr>
          <w:rFonts w:ascii="Arial" w:hAnsi="Arial" w:cs="Arial"/>
          <w:bCs/>
        </w:rPr>
        <w:t>Mittel- und langfristig lässt sich mit Effizienzsteigerungen und Optimierungen der bestehenden Holz</w:t>
      </w:r>
      <w:r w:rsidR="001D0737">
        <w:rPr>
          <w:rFonts w:ascii="Arial" w:hAnsi="Arial" w:cs="Arial"/>
          <w:bCs/>
        </w:rPr>
        <w:t>heizungen</w:t>
      </w:r>
      <w:r w:rsidR="001D0737" w:rsidRPr="008C0CFB">
        <w:rPr>
          <w:rFonts w:ascii="Arial" w:hAnsi="Arial" w:cs="Arial"/>
          <w:bCs/>
        </w:rPr>
        <w:t xml:space="preserve"> und Nahwärmenetze deren Holzverbrauch um 10 bis 15 Prozent vermindern, was etwa 0,3 bis 0,5 Millionen Kubikmeter für zusätzliche Anwendungen «freispielen» würde. Die intelligente Integration zusätzlicher Energiequellen wie Photovoltaik/Wärmepumpen oder thermische Solaranlagen in bestehende Anlagen könnten den Holzverbrauch – vor allem im Sommerhalbjahr – zusätzlich senken, vielleicht um 0,5 Millionen Kubikmeter. Dadurch steigt das für zusätzliche Heizungen nutzbare Potential </w:t>
      </w:r>
      <w:r w:rsidR="00C25B52">
        <w:rPr>
          <w:rFonts w:ascii="Arial" w:hAnsi="Arial" w:cs="Arial"/>
          <w:bCs/>
        </w:rPr>
        <w:t xml:space="preserve">insgesamt </w:t>
      </w:r>
      <w:r w:rsidR="001D0737" w:rsidRPr="008C0CFB">
        <w:rPr>
          <w:rFonts w:ascii="Arial" w:hAnsi="Arial" w:cs="Arial"/>
          <w:bCs/>
        </w:rPr>
        <w:t xml:space="preserve">auf </w:t>
      </w:r>
      <w:r w:rsidR="001D0737">
        <w:rPr>
          <w:rFonts w:ascii="Arial" w:hAnsi="Arial" w:cs="Arial"/>
          <w:bCs/>
        </w:rPr>
        <w:t>gut</w:t>
      </w:r>
      <w:r w:rsidR="001D0737" w:rsidRPr="008C0CFB">
        <w:rPr>
          <w:rFonts w:ascii="Arial" w:hAnsi="Arial" w:cs="Arial"/>
          <w:bCs/>
        </w:rPr>
        <w:t xml:space="preserve"> 2 Millionen Kubikmeter.</w:t>
      </w:r>
      <w:r w:rsidR="001D0737">
        <w:rPr>
          <w:rFonts w:ascii="Arial" w:hAnsi="Arial" w:cs="Arial"/>
          <w:bCs/>
        </w:rPr>
        <w:t>»</w:t>
      </w:r>
      <w:r w:rsidR="00B944C9">
        <w:rPr>
          <w:rFonts w:ascii="Arial" w:hAnsi="Arial" w:cs="Arial"/>
          <w:bCs/>
        </w:rPr>
        <w:t xml:space="preserve"> Es hat also tatsächlich noch recht viel Luft nach oben</w:t>
      </w:r>
      <w:r w:rsidR="00C25B52">
        <w:rPr>
          <w:rFonts w:ascii="Arial" w:hAnsi="Arial" w:cs="Arial"/>
          <w:bCs/>
        </w:rPr>
        <w:t xml:space="preserve"> und die Holzenergie kann auch in den nächsten Jahren einen wichtigen Beitrag an die Energiewende leisten.</w:t>
      </w:r>
    </w:p>
    <w:p w14:paraId="42F32000" w14:textId="77777777" w:rsidR="001D0737" w:rsidRDefault="001D0737" w:rsidP="00D03A0E">
      <w:pPr>
        <w:spacing w:after="0"/>
        <w:rPr>
          <w:rFonts w:ascii="Arial" w:hAnsi="Arial" w:cs="Arial"/>
          <w:bCs/>
        </w:rPr>
      </w:pPr>
    </w:p>
    <w:p w14:paraId="5C669C66" w14:textId="77777777" w:rsidR="00462CA9" w:rsidRPr="008C0CFB" w:rsidRDefault="00462CA9" w:rsidP="00D03A0E">
      <w:pPr>
        <w:spacing w:after="0"/>
        <w:rPr>
          <w:rFonts w:ascii="Arial" w:hAnsi="Arial" w:cs="Arial"/>
          <w:bCs/>
        </w:rPr>
      </w:pPr>
    </w:p>
    <w:p w14:paraId="6F9F65D7" w14:textId="77777777" w:rsidR="006F21B2" w:rsidRPr="008C0CFB"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8C0CFB">
        <w:rPr>
          <w:rFonts w:ascii="Arial" w:hAnsi="Arial" w:cs="Arial"/>
          <w:b/>
        </w:rPr>
        <w:t>Über Holzenergie Schweiz</w:t>
      </w:r>
    </w:p>
    <w:p w14:paraId="5112DE25" w14:textId="77777777" w:rsidR="006F21B2" w:rsidRPr="008C0CFB"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8C0CFB">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Default="00833DB0" w:rsidP="00833DB0">
      <w:pPr>
        <w:spacing w:after="0" w:line="240" w:lineRule="auto"/>
        <w:rPr>
          <w:rFonts w:ascii="Arial" w:hAnsi="Arial" w:cs="Arial"/>
          <w:i/>
          <w:sz w:val="20"/>
        </w:rPr>
      </w:pPr>
    </w:p>
    <w:p w14:paraId="6C9DF3BF" w14:textId="77777777" w:rsidR="00462CA9" w:rsidRPr="008C0CFB" w:rsidRDefault="00462CA9" w:rsidP="00833DB0">
      <w:pPr>
        <w:spacing w:after="0" w:line="240" w:lineRule="auto"/>
        <w:rPr>
          <w:rFonts w:ascii="Arial" w:hAnsi="Arial" w:cs="Arial"/>
          <w:i/>
          <w:sz w:val="20"/>
        </w:rPr>
      </w:pPr>
    </w:p>
    <w:p w14:paraId="14004686" w14:textId="1B1F8F56" w:rsidR="00833DB0" w:rsidRPr="008C0CFB" w:rsidRDefault="00833DB0" w:rsidP="00833DB0">
      <w:pPr>
        <w:spacing w:after="0" w:line="240" w:lineRule="auto"/>
        <w:rPr>
          <w:rFonts w:ascii="Arial" w:hAnsi="Arial" w:cs="Arial"/>
          <w:i/>
          <w:sz w:val="20"/>
        </w:rPr>
      </w:pPr>
      <w:r w:rsidRPr="008C0CFB">
        <w:rPr>
          <w:rFonts w:ascii="Arial" w:hAnsi="Arial" w:cs="Arial"/>
          <w:i/>
          <w:sz w:val="20"/>
        </w:rPr>
        <w:t>Autor:</w:t>
      </w:r>
    </w:p>
    <w:p w14:paraId="699E473D" w14:textId="7A3E7C54" w:rsidR="00833DB0" w:rsidRPr="008C0CFB" w:rsidRDefault="00833DB0" w:rsidP="00833DB0">
      <w:pPr>
        <w:spacing w:after="0" w:line="240" w:lineRule="auto"/>
        <w:rPr>
          <w:rFonts w:ascii="Arial" w:hAnsi="Arial" w:cs="Arial"/>
          <w:i/>
          <w:sz w:val="20"/>
        </w:rPr>
      </w:pPr>
      <w:r w:rsidRPr="008C0CFB">
        <w:rPr>
          <w:rFonts w:ascii="Arial" w:hAnsi="Arial" w:cs="Arial"/>
          <w:i/>
          <w:sz w:val="20"/>
        </w:rPr>
        <w:t>Christoph Rutschmann</w:t>
      </w:r>
    </w:p>
    <w:p w14:paraId="781FD0B7"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Im Auftrag von Holzenergie Schweiz</w:t>
      </w:r>
    </w:p>
    <w:p w14:paraId="7796E959"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Neugasse 10</w:t>
      </w:r>
    </w:p>
    <w:p w14:paraId="7382F8AF"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8005 Zürich</w:t>
      </w:r>
    </w:p>
    <w:p w14:paraId="028B4D6F" w14:textId="5AF96CC8" w:rsidR="00833DB0" w:rsidRPr="008C0CFB" w:rsidRDefault="005129B2" w:rsidP="00833DB0">
      <w:pPr>
        <w:spacing w:after="0" w:line="240" w:lineRule="auto"/>
        <w:rPr>
          <w:rFonts w:ascii="Arial" w:hAnsi="Arial" w:cs="Arial"/>
          <w:i/>
          <w:sz w:val="20"/>
        </w:rPr>
      </w:pPr>
      <w:r w:rsidRPr="008C0CFB">
        <w:rPr>
          <w:rFonts w:ascii="Arial" w:hAnsi="Arial" w:cs="Arial"/>
          <w:i/>
          <w:sz w:val="20"/>
        </w:rPr>
        <w:t>Tel</w:t>
      </w:r>
      <w:r w:rsidR="00833DB0" w:rsidRPr="008C0CFB">
        <w:rPr>
          <w:rFonts w:ascii="Arial" w:hAnsi="Arial" w:cs="Arial"/>
          <w:i/>
          <w:sz w:val="20"/>
        </w:rPr>
        <w:t>: 044 250 88 11</w:t>
      </w:r>
    </w:p>
    <w:p w14:paraId="3526588B"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info@holzenergie.ch</w:t>
      </w:r>
    </w:p>
    <w:p w14:paraId="5BE100CA" w14:textId="77777777" w:rsidR="006F21B2" w:rsidRPr="008C0CFB" w:rsidRDefault="006F21B2" w:rsidP="00442798">
      <w:pPr>
        <w:spacing w:after="0" w:line="240" w:lineRule="auto"/>
        <w:rPr>
          <w:rFonts w:ascii="Arial" w:hAnsi="Arial" w:cs="Arial"/>
          <w:i/>
          <w:sz w:val="20"/>
        </w:rPr>
      </w:pPr>
    </w:p>
    <w:p w14:paraId="58A31364" w14:textId="77777777" w:rsidR="00462CA9" w:rsidRDefault="00462CA9">
      <w:pPr>
        <w:spacing w:after="160" w:line="259" w:lineRule="auto"/>
        <w:rPr>
          <w:rFonts w:ascii="Arial" w:hAnsi="Arial" w:cs="Arial"/>
          <w:b/>
          <w:i/>
          <w:sz w:val="20"/>
        </w:rPr>
      </w:pPr>
      <w:r>
        <w:rPr>
          <w:rFonts w:ascii="Arial" w:hAnsi="Arial" w:cs="Arial"/>
          <w:b/>
          <w:i/>
          <w:sz w:val="20"/>
        </w:rPr>
        <w:br w:type="page"/>
      </w:r>
    </w:p>
    <w:p w14:paraId="2310A7B7" w14:textId="029CE8FE" w:rsidR="006F21B2" w:rsidRPr="008C0CFB" w:rsidRDefault="006F21B2" w:rsidP="00442798">
      <w:pPr>
        <w:spacing w:after="0"/>
        <w:rPr>
          <w:rFonts w:ascii="Arial" w:hAnsi="Arial" w:cs="Arial"/>
          <w:b/>
          <w:i/>
          <w:sz w:val="20"/>
        </w:rPr>
      </w:pPr>
      <w:r w:rsidRPr="008C0CFB">
        <w:rPr>
          <w:rFonts w:ascii="Arial" w:hAnsi="Arial" w:cs="Arial"/>
          <w:b/>
          <w:i/>
          <w:sz w:val="20"/>
        </w:rPr>
        <w:lastRenderedPageBreak/>
        <w:t>Bild</w:t>
      </w:r>
      <w:r w:rsidR="006C081B" w:rsidRPr="008C0CFB">
        <w:rPr>
          <w:rFonts w:ascii="Arial" w:hAnsi="Arial" w:cs="Arial"/>
          <w:b/>
          <w:i/>
          <w:sz w:val="20"/>
        </w:rPr>
        <w:t>er</w:t>
      </w:r>
    </w:p>
    <w:tbl>
      <w:tblPr>
        <w:tblStyle w:val="Tabellenraster"/>
        <w:tblW w:w="9606" w:type="dxa"/>
        <w:tblLook w:val="04A0" w:firstRow="1" w:lastRow="0" w:firstColumn="1" w:lastColumn="0" w:noHBand="0" w:noVBand="1"/>
      </w:tblPr>
      <w:tblGrid>
        <w:gridCol w:w="2296"/>
        <w:gridCol w:w="7310"/>
      </w:tblGrid>
      <w:tr w:rsidR="00C35C28" w:rsidRPr="008C0CFB" w14:paraId="6206EEEF" w14:textId="77777777" w:rsidTr="004C2312">
        <w:tc>
          <w:tcPr>
            <w:tcW w:w="2122" w:type="dxa"/>
          </w:tcPr>
          <w:p w14:paraId="64C3F049" w14:textId="4B2416FC" w:rsidR="00C35C28" w:rsidRPr="008C0CFB" w:rsidRDefault="00462CA9" w:rsidP="004C2312">
            <w:pPr>
              <w:spacing w:after="40"/>
              <w:rPr>
                <w:rFonts w:ascii="Arial" w:hAnsi="Arial" w:cs="Arial"/>
                <w:i/>
                <w:sz w:val="20"/>
              </w:rPr>
            </w:pPr>
            <w:r>
              <w:rPr>
                <w:noProof/>
              </w:rPr>
              <w:drawing>
                <wp:inline distT="0" distB="0" distL="0" distR="0" wp14:anchorId="42929970" wp14:editId="0C6579C9">
                  <wp:extent cx="1320800" cy="857173"/>
                  <wp:effectExtent l="0" t="0" r="0" b="635"/>
                  <wp:docPr id="11469911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91136" name=""/>
                          <pic:cNvPicPr/>
                        </pic:nvPicPr>
                        <pic:blipFill>
                          <a:blip r:embed="rId7"/>
                          <a:stretch>
                            <a:fillRect/>
                          </a:stretch>
                        </pic:blipFill>
                        <pic:spPr>
                          <a:xfrm>
                            <a:off x="0" y="0"/>
                            <a:ext cx="1345438" cy="873162"/>
                          </a:xfrm>
                          <a:prstGeom prst="rect">
                            <a:avLst/>
                          </a:prstGeom>
                        </pic:spPr>
                      </pic:pic>
                    </a:graphicData>
                  </a:graphic>
                </wp:inline>
              </w:drawing>
            </w:r>
          </w:p>
        </w:tc>
        <w:tc>
          <w:tcPr>
            <w:tcW w:w="7484" w:type="dxa"/>
          </w:tcPr>
          <w:p w14:paraId="4BE5FE8E" w14:textId="77777777" w:rsidR="00C35C28" w:rsidRPr="008C0CFB" w:rsidRDefault="00C35C28" w:rsidP="004C23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516365DA" w14:textId="77777777" w:rsidR="00C35C28" w:rsidRPr="008C0CFB" w:rsidRDefault="00C35C28" w:rsidP="004C2312">
            <w:pPr>
              <w:spacing w:after="40"/>
              <w:rPr>
                <w:rFonts w:ascii="Arial" w:hAnsi="Arial" w:cs="Arial"/>
                <w:i/>
                <w:sz w:val="20"/>
              </w:rPr>
            </w:pPr>
          </w:p>
          <w:p w14:paraId="6D4734FC" w14:textId="7562F0E4" w:rsidR="00C35C28" w:rsidRPr="008C0CFB" w:rsidRDefault="00C35C28" w:rsidP="004C2312">
            <w:pPr>
              <w:spacing w:after="40"/>
              <w:rPr>
                <w:rFonts w:ascii="Arial" w:hAnsi="Arial" w:cs="Arial"/>
                <w:i/>
                <w:sz w:val="20"/>
              </w:rPr>
            </w:pPr>
            <w:r w:rsidRPr="008C0CFB">
              <w:rPr>
                <w:rFonts w:ascii="Arial" w:hAnsi="Arial" w:cs="Arial"/>
                <w:i/>
                <w:sz w:val="20"/>
              </w:rPr>
              <w:t xml:space="preserve">Monitoring Holzenergie in der Schweiz: </w:t>
            </w:r>
            <w:r w:rsidR="00462CA9">
              <w:rPr>
                <w:rFonts w:ascii="Arial" w:hAnsi="Arial" w:cs="Arial"/>
                <w:i/>
                <w:sz w:val="20"/>
              </w:rPr>
              <w:t>Energieholz sinnvoll nutzen</w:t>
            </w:r>
            <w:r w:rsidR="00A346ED">
              <w:rPr>
                <w:rFonts w:ascii="Arial" w:hAnsi="Arial" w:cs="Arial"/>
                <w:i/>
                <w:sz w:val="20"/>
              </w:rPr>
              <w:t xml:space="preserve"> </w:t>
            </w:r>
          </w:p>
          <w:p w14:paraId="5FC88AC0" w14:textId="77777777" w:rsidR="00C35C28" w:rsidRPr="008C0CFB" w:rsidRDefault="00C35C28" w:rsidP="004C2312">
            <w:pPr>
              <w:spacing w:after="40"/>
              <w:rPr>
                <w:rFonts w:ascii="Arial" w:hAnsi="Arial" w:cs="Arial"/>
                <w:i/>
                <w:sz w:val="20"/>
              </w:rPr>
            </w:pPr>
          </w:p>
          <w:p w14:paraId="2B7FD479" w14:textId="77777777" w:rsidR="00C35C28" w:rsidRPr="008C0CFB" w:rsidRDefault="00C35C28" w:rsidP="004C2312">
            <w:pPr>
              <w:spacing w:after="40"/>
              <w:rPr>
                <w:rFonts w:ascii="Arial" w:hAnsi="Arial" w:cs="Arial"/>
                <w:i/>
                <w:sz w:val="20"/>
              </w:rPr>
            </w:pPr>
            <w:r w:rsidRPr="008C0CFB">
              <w:rPr>
                <w:rFonts w:ascii="Arial" w:hAnsi="Arial" w:cs="Arial"/>
                <w:i/>
                <w:sz w:val="20"/>
              </w:rPr>
              <w:t>Bildquelle: Christoph Rutschmann, Holzenergie Schweiz</w:t>
            </w:r>
          </w:p>
        </w:tc>
      </w:tr>
      <w:tr w:rsidR="00C35C28" w:rsidRPr="008C0CFB" w14:paraId="26AC2172" w14:textId="77777777" w:rsidTr="00C35C28">
        <w:tc>
          <w:tcPr>
            <w:tcW w:w="2122" w:type="dxa"/>
          </w:tcPr>
          <w:p w14:paraId="3F0943E1" w14:textId="70514135" w:rsidR="00C35C28" w:rsidRPr="008C0CFB" w:rsidRDefault="00EC225D" w:rsidP="00EC225D">
            <w:pPr>
              <w:spacing w:after="40"/>
              <w:jc w:val="both"/>
              <w:rPr>
                <w:rFonts w:ascii="Arial" w:hAnsi="Arial" w:cs="Arial"/>
                <w:i/>
                <w:sz w:val="20"/>
              </w:rPr>
            </w:pPr>
            <w:r>
              <w:rPr>
                <w:noProof/>
              </w:rPr>
              <w:drawing>
                <wp:inline distT="0" distB="0" distL="0" distR="0" wp14:anchorId="783F7D85" wp14:editId="52020F53">
                  <wp:extent cx="1321387" cy="901197"/>
                  <wp:effectExtent l="0" t="0" r="0" b="0"/>
                  <wp:docPr id="3118535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53573" name=""/>
                          <pic:cNvPicPr/>
                        </pic:nvPicPr>
                        <pic:blipFill>
                          <a:blip r:embed="rId8"/>
                          <a:stretch>
                            <a:fillRect/>
                          </a:stretch>
                        </pic:blipFill>
                        <pic:spPr>
                          <a:xfrm>
                            <a:off x="0" y="0"/>
                            <a:ext cx="1339201" cy="913346"/>
                          </a:xfrm>
                          <a:prstGeom prst="rect">
                            <a:avLst/>
                          </a:prstGeom>
                        </pic:spPr>
                      </pic:pic>
                    </a:graphicData>
                  </a:graphic>
                </wp:inline>
              </w:drawing>
            </w:r>
          </w:p>
        </w:tc>
        <w:tc>
          <w:tcPr>
            <w:tcW w:w="7484" w:type="dxa"/>
          </w:tcPr>
          <w:p w14:paraId="617DEEA5" w14:textId="77777777" w:rsidR="00C35C28" w:rsidRPr="008C0CFB" w:rsidRDefault="00C35C28" w:rsidP="004C23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37391CF7" w14:textId="77777777" w:rsidR="00C35C28" w:rsidRPr="008C0CFB" w:rsidRDefault="00C35C28" w:rsidP="004C2312">
            <w:pPr>
              <w:spacing w:after="40"/>
              <w:rPr>
                <w:rFonts w:ascii="Arial" w:hAnsi="Arial" w:cs="Arial"/>
                <w:i/>
                <w:sz w:val="20"/>
              </w:rPr>
            </w:pPr>
          </w:p>
          <w:p w14:paraId="2518EE39" w14:textId="165E6F4E" w:rsidR="00C35C28" w:rsidRPr="008C0CFB" w:rsidRDefault="00A346ED" w:rsidP="004C2312">
            <w:pPr>
              <w:spacing w:after="40"/>
              <w:rPr>
                <w:rFonts w:ascii="Arial" w:hAnsi="Arial" w:cs="Arial"/>
                <w:i/>
                <w:sz w:val="20"/>
              </w:rPr>
            </w:pPr>
            <w:r>
              <w:rPr>
                <w:rFonts w:ascii="Arial" w:hAnsi="Arial" w:cs="Arial"/>
                <w:i/>
                <w:sz w:val="20"/>
              </w:rPr>
              <w:t>Andreas Keel</w:t>
            </w:r>
            <w:r w:rsidR="00EC225D">
              <w:rPr>
                <w:rFonts w:ascii="Arial" w:hAnsi="Arial" w:cs="Arial"/>
                <w:i/>
                <w:sz w:val="20"/>
              </w:rPr>
              <w:t>, Holzenergie Schweiz</w:t>
            </w:r>
            <w:r w:rsidR="00C35C28" w:rsidRPr="008C0CFB">
              <w:rPr>
                <w:rFonts w:ascii="Arial" w:hAnsi="Arial" w:cs="Arial"/>
                <w:i/>
                <w:sz w:val="20"/>
              </w:rPr>
              <w:t xml:space="preserve">: </w:t>
            </w:r>
            <w:r w:rsidR="007A6C65">
              <w:rPr>
                <w:rFonts w:ascii="Arial" w:hAnsi="Arial" w:cs="Arial"/>
                <w:i/>
                <w:sz w:val="20"/>
              </w:rPr>
              <w:t>«</w:t>
            </w:r>
            <w:r w:rsidR="00C35C28">
              <w:rPr>
                <w:rFonts w:ascii="Arial" w:hAnsi="Arial" w:cs="Arial"/>
                <w:i/>
                <w:sz w:val="20"/>
              </w:rPr>
              <w:t>Versorgung ist jederzeit sichergestellt</w:t>
            </w:r>
            <w:r w:rsidR="007A6C65">
              <w:rPr>
                <w:rFonts w:ascii="Arial" w:hAnsi="Arial" w:cs="Arial"/>
                <w:i/>
                <w:sz w:val="20"/>
              </w:rPr>
              <w:t>.»</w:t>
            </w:r>
          </w:p>
          <w:p w14:paraId="4877C6EA" w14:textId="77777777" w:rsidR="00C35C28" w:rsidRPr="008C0CFB" w:rsidRDefault="00C35C28" w:rsidP="004C2312">
            <w:pPr>
              <w:spacing w:after="40"/>
              <w:rPr>
                <w:rFonts w:ascii="Arial" w:hAnsi="Arial" w:cs="Arial"/>
                <w:i/>
                <w:sz w:val="20"/>
              </w:rPr>
            </w:pPr>
          </w:p>
          <w:p w14:paraId="3616E06A" w14:textId="77777777" w:rsidR="00C35C28" w:rsidRPr="008C0CFB" w:rsidRDefault="00C35C28" w:rsidP="004C2312">
            <w:pPr>
              <w:spacing w:after="40"/>
              <w:rPr>
                <w:rFonts w:ascii="Arial" w:hAnsi="Arial" w:cs="Arial"/>
                <w:i/>
                <w:sz w:val="20"/>
              </w:rPr>
            </w:pPr>
            <w:r w:rsidRPr="008C0CFB">
              <w:rPr>
                <w:rFonts w:ascii="Arial" w:hAnsi="Arial" w:cs="Arial"/>
                <w:i/>
                <w:sz w:val="20"/>
              </w:rPr>
              <w:t>Bildquelle: Christoph Rutschmann, Holzenergie Schweiz</w:t>
            </w:r>
          </w:p>
        </w:tc>
      </w:tr>
    </w:tbl>
    <w:p w14:paraId="1FFA91AB" w14:textId="01275681" w:rsidR="00C119D5" w:rsidRDefault="00C119D5" w:rsidP="00D34A9C">
      <w:pPr>
        <w:spacing w:after="0" w:line="240" w:lineRule="auto"/>
        <w:rPr>
          <w:rFonts w:ascii="Arial" w:hAnsi="Arial" w:cs="Arial"/>
          <w:sz w:val="20"/>
        </w:rPr>
      </w:pPr>
    </w:p>
    <w:p w14:paraId="7CC76C42" w14:textId="77777777" w:rsidR="00EC225D" w:rsidRDefault="00EC225D" w:rsidP="00D34A9C">
      <w:pPr>
        <w:spacing w:after="0" w:line="240" w:lineRule="auto"/>
        <w:rPr>
          <w:rFonts w:ascii="Arial" w:hAnsi="Arial" w:cs="Arial"/>
          <w:sz w:val="20"/>
        </w:rPr>
      </w:pPr>
    </w:p>
    <w:sectPr w:rsidR="00EC225D" w:rsidSect="00F63310">
      <w:headerReference w:type="default" r:id="rId9"/>
      <w:footerReference w:type="default" r:id="rId10"/>
      <w:headerReference w:type="first" r:id="rId11"/>
      <w:footerReference w:type="first" r:id="rId12"/>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1C7E" w14:textId="77777777" w:rsidR="00F63310" w:rsidRDefault="00F63310" w:rsidP="006F21B2">
      <w:pPr>
        <w:spacing w:after="0" w:line="240" w:lineRule="auto"/>
      </w:pPr>
      <w:r>
        <w:separator/>
      </w:r>
    </w:p>
  </w:endnote>
  <w:endnote w:type="continuationSeparator" w:id="0">
    <w:p w14:paraId="0E423E6D" w14:textId="77777777" w:rsidR="00F63310" w:rsidRDefault="00F63310"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60B3" w14:textId="77777777" w:rsidR="00F63310" w:rsidRDefault="00F63310" w:rsidP="006F21B2">
      <w:pPr>
        <w:spacing w:after="0" w:line="240" w:lineRule="auto"/>
      </w:pPr>
      <w:r>
        <w:separator/>
      </w:r>
    </w:p>
  </w:footnote>
  <w:footnote w:type="continuationSeparator" w:id="0">
    <w:p w14:paraId="362E5095" w14:textId="77777777" w:rsidR="00F63310" w:rsidRDefault="00F63310"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083B98"/>
    <w:multiLevelType w:val="hybridMultilevel"/>
    <w:tmpl w:val="4D2299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AC136B"/>
    <w:multiLevelType w:val="hybridMultilevel"/>
    <w:tmpl w:val="E0408F34"/>
    <w:lvl w:ilvl="0" w:tplc="B3E4CE52">
      <w:start w:val="15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5E2F05"/>
    <w:multiLevelType w:val="hybridMultilevel"/>
    <w:tmpl w:val="84FE90D0"/>
    <w:lvl w:ilvl="0" w:tplc="DFA8D756">
      <w:start w:val="150"/>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BA3BCE"/>
    <w:multiLevelType w:val="hybridMultilevel"/>
    <w:tmpl w:val="183E74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23E389D"/>
    <w:multiLevelType w:val="hybridMultilevel"/>
    <w:tmpl w:val="29B0CB9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CD6BE0"/>
    <w:multiLevelType w:val="hybridMultilevel"/>
    <w:tmpl w:val="D6D06412"/>
    <w:lvl w:ilvl="0" w:tplc="FA682C90">
      <w:start w:val="15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7"/>
  </w:num>
  <w:num w:numId="4" w16cid:durableId="852109580">
    <w:abstractNumId w:val="10"/>
  </w:num>
  <w:num w:numId="5" w16cid:durableId="1349789751">
    <w:abstractNumId w:val="1"/>
  </w:num>
  <w:num w:numId="6" w16cid:durableId="2036417586">
    <w:abstractNumId w:val="4"/>
  </w:num>
  <w:num w:numId="7" w16cid:durableId="179508318">
    <w:abstractNumId w:val="11"/>
  </w:num>
  <w:num w:numId="8" w16cid:durableId="1488784764">
    <w:abstractNumId w:val="6"/>
  </w:num>
  <w:num w:numId="9" w16cid:durableId="619381117">
    <w:abstractNumId w:val="5"/>
  </w:num>
  <w:num w:numId="10" w16cid:durableId="2068721162">
    <w:abstractNumId w:val="9"/>
  </w:num>
  <w:num w:numId="11" w16cid:durableId="662777293">
    <w:abstractNumId w:val="8"/>
  </w:num>
  <w:num w:numId="12" w16cid:durableId="164665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42AF"/>
    <w:rsid w:val="00016707"/>
    <w:rsid w:val="00021991"/>
    <w:rsid w:val="00021F94"/>
    <w:rsid w:val="0002408E"/>
    <w:rsid w:val="0002616D"/>
    <w:rsid w:val="000372D5"/>
    <w:rsid w:val="00037D09"/>
    <w:rsid w:val="00043AD1"/>
    <w:rsid w:val="00051E2A"/>
    <w:rsid w:val="00053B3F"/>
    <w:rsid w:val="000602F9"/>
    <w:rsid w:val="00063D1A"/>
    <w:rsid w:val="000664F4"/>
    <w:rsid w:val="0007368B"/>
    <w:rsid w:val="0007412D"/>
    <w:rsid w:val="00075F3B"/>
    <w:rsid w:val="000802C1"/>
    <w:rsid w:val="00085EE0"/>
    <w:rsid w:val="000913B7"/>
    <w:rsid w:val="00091BDD"/>
    <w:rsid w:val="00095307"/>
    <w:rsid w:val="00096086"/>
    <w:rsid w:val="000A1D12"/>
    <w:rsid w:val="000A2788"/>
    <w:rsid w:val="000B1BDD"/>
    <w:rsid w:val="000B25BF"/>
    <w:rsid w:val="000B2924"/>
    <w:rsid w:val="000B54C4"/>
    <w:rsid w:val="000B5C51"/>
    <w:rsid w:val="000C133B"/>
    <w:rsid w:val="000C61A8"/>
    <w:rsid w:val="000C6734"/>
    <w:rsid w:val="000C757D"/>
    <w:rsid w:val="000D5BEA"/>
    <w:rsid w:val="000D5D3A"/>
    <w:rsid w:val="000D6D86"/>
    <w:rsid w:val="000E14AA"/>
    <w:rsid w:val="000E1B9F"/>
    <w:rsid w:val="000E302E"/>
    <w:rsid w:val="000E324A"/>
    <w:rsid w:val="000E4663"/>
    <w:rsid w:val="000E46C3"/>
    <w:rsid w:val="000E587F"/>
    <w:rsid w:val="000F1E99"/>
    <w:rsid w:val="000F3FFD"/>
    <w:rsid w:val="000F7D28"/>
    <w:rsid w:val="001030E2"/>
    <w:rsid w:val="00103AE7"/>
    <w:rsid w:val="001049EE"/>
    <w:rsid w:val="00117463"/>
    <w:rsid w:val="00120A7D"/>
    <w:rsid w:val="00120D63"/>
    <w:rsid w:val="00125B52"/>
    <w:rsid w:val="00126B03"/>
    <w:rsid w:val="00135FB3"/>
    <w:rsid w:val="00141D16"/>
    <w:rsid w:val="001424DB"/>
    <w:rsid w:val="00151971"/>
    <w:rsid w:val="0015233D"/>
    <w:rsid w:val="001537E7"/>
    <w:rsid w:val="00157E99"/>
    <w:rsid w:val="00161DAE"/>
    <w:rsid w:val="001653F8"/>
    <w:rsid w:val="00165E5D"/>
    <w:rsid w:val="00170833"/>
    <w:rsid w:val="00173029"/>
    <w:rsid w:val="00173093"/>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3269"/>
    <w:rsid w:val="001B79BD"/>
    <w:rsid w:val="001C1FF3"/>
    <w:rsid w:val="001C374E"/>
    <w:rsid w:val="001C3EA0"/>
    <w:rsid w:val="001C402C"/>
    <w:rsid w:val="001C5AF8"/>
    <w:rsid w:val="001C7BDF"/>
    <w:rsid w:val="001D0737"/>
    <w:rsid w:val="001D40AF"/>
    <w:rsid w:val="001D4B32"/>
    <w:rsid w:val="001D52B5"/>
    <w:rsid w:val="001D5931"/>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235D4"/>
    <w:rsid w:val="00223DBC"/>
    <w:rsid w:val="00225C0E"/>
    <w:rsid w:val="002365D2"/>
    <w:rsid w:val="00250A6D"/>
    <w:rsid w:val="00254A13"/>
    <w:rsid w:val="002555E9"/>
    <w:rsid w:val="0027620A"/>
    <w:rsid w:val="00276653"/>
    <w:rsid w:val="002820B8"/>
    <w:rsid w:val="00283AD5"/>
    <w:rsid w:val="0028445D"/>
    <w:rsid w:val="00292C78"/>
    <w:rsid w:val="002936A3"/>
    <w:rsid w:val="00293F39"/>
    <w:rsid w:val="002A0852"/>
    <w:rsid w:val="002A0864"/>
    <w:rsid w:val="002A2D57"/>
    <w:rsid w:val="002A30E2"/>
    <w:rsid w:val="002A5496"/>
    <w:rsid w:val="002B0102"/>
    <w:rsid w:val="002B4951"/>
    <w:rsid w:val="002C00FB"/>
    <w:rsid w:val="002C2468"/>
    <w:rsid w:val="002C5C13"/>
    <w:rsid w:val="002C79D3"/>
    <w:rsid w:val="002C7C1F"/>
    <w:rsid w:val="002D1561"/>
    <w:rsid w:val="002D3393"/>
    <w:rsid w:val="002D3414"/>
    <w:rsid w:val="002D4D36"/>
    <w:rsid w:val="002D60F0"/>
    <w:rsid w:val="002D625F"/>
    <w:rsid w:val="002D6CC4"/>
    <w:rsid w:val="002E16F1"/>
    <w:rsid w:val="002E20F8"/>
    <w:rsid w:val="002E29CE"/>
    <w:rsid w:val="002E4A39"/>
    <w:rsid w:val="002E5E90"/>
    <w:rsid w:val="002E66DC"/>
    <w:rsid w:val="002F059A"/>
    <w:rsid w:val="002F09E7"/>
    <w:rsid w:val="002F7E2A"/>
    <w:rsid w:val="0030250A"/>
    <w:rsid w:val="00303CA7"/>
    <w:rsid w:val="00303FFD"/>
    <w:rsid w:val="003052B0"/>
    <w:rsid w:val="00305AC3"/>
    <w:rsid w:val="0030631B"/>
    <w:rsid w:val="00312790"/>
    <w:rsid w:val="00313B10"/>
    <w:rsid w:val="00325C36"/>
    <w:rsid w:val="00331310"/>
    <w:rsid w:val="0033152C"/>
    <w:rsid w:val="0033230B"/>
    <w:rsid w:val="0033328A"/>
    <w:rsid w:val="00333F78"/>
    <w:rsid w:val="0033419F"/>
    <w:rsid w:val="00335A7E"/>
    <w:rsid w:val="00336CBF"/>
    <w:rsid w:val="00337872"/>
    <w:rsid w:val="0034296E"/>
    <w:rsid w:val="00347BAE"/>
    <w:rsid w:val="0035129B"/>
    <w:rsid w:val="0035580F"/>
    <w:rsid w:val="00356742"/>
    <w:rsid w:val="00357A2B"/>
    <w:rsid w:val="003607AE"/>
    <w:rsid w:val="00360B97"/>
    <w:rsid w:val="003620F0"/>
    <w:rsid w:val="00365183"/>
    <w:rsid w:val="003745BD"/>
    <w:rsid w:val="00376B37"/>
    <w:rsid w:val="00377AC6"/>
    <w:rsid w:val="00382522"/>
    <w:rsid w:val="003906CB"/>
    <w:rsid w:val="00392215"/>
    <w:rsid w:val="00394036"/>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F1B92"/>
    <w:rsid w:val="003F26B1"/>
    <w:rsid w:val="003F2E42"/>
    <w:rsid w:val="003F45E3"/>
    <w:rsid w:val="003F6A25"/>
    <w:rsid w:val="003F78EE"/>
    <w:rsid w:val="0040094E"/>
    <w:rsid w:val="00400EA6"/>
    <w:rsid w:val="00405242"/>
    <w:rsid w:val="00407274"/>
    <w:rsid w:val="00414C31"/>
    <w:rsid w:val="004159F2"/>
    <w:rsid w:val="0041616F"/>
    <w:rsid w:val="004211B1"/>
    <w:rsid w:val="00422C3B"/>
    <w:rsid w:val="004279E6"/>
    <w:rsid w:val="004308B2"/>
    <w:rsid w:val="00431E05"/>
    <w:rsid w:val="00432179"/>
    <w:rsid w:val="0043315F"/>
    <w:rsid w:val="00433608"/>
    <w:rsid w:val="004347EE"/>
    <w:rsid w:val="00442798"/>
    <w:rsid w:val="00444994"/>
    <w:rsid w:val="00446934"/>
    <w:rsid w:val="00446EDF"/>
    <w:rsid w:val="004535F2"/>
    <w:rsid w:val="0045492C"/>
    <w:rsid w:val="0045608C"/>
    <w:rsid w:val="004566AA"/>
    <w:rsid w:val="004566B0"/>
    <w:rsid w:val="0045736C"/>
    <w:rsid w:val="00462CA9"/>
    <w:rsid w:val="0046328F"/>
    <w:rsid w:val="004643A7"/>
    <w:rsid w:val="00483E57"/>
    <w:rsid w:val="004851EA"/>
    <w:rsid w:val="004870F5"/>
    <w:rsid w:val="00490E52"/>
    <w:rsid w:val="00490F06"/>
    <w:rsid w:val="00492D7A"/>
    <w:rsid w:val="00494941"/>
    <w:rsid w:val="004A2E7B"/>
    <w:rsid w:val="004A35BB"/>
    <w:rsid w:val="004A35E6"/>
    <w:rsid w:val="004A36EB"/>
    <w:rsid w:val="004A3ED5"/>
    <w:rsid w:val="004A4272"/>
    <w:rsid w:val="004A52E8"/>
    <w:rsid w:val="004B2C88"/>
    <w:rsid w:val="004B7299"/>
    <w:rsid w:val="004C0826"/>
    <w:rsid w:val="004C1924"/>
    <w:rsid w:val="004C590C"/>
    <w:rsid w:val="004C6A63"/>
    <w:rsid w:val="004D061D"/>
    <w:rsid w:val="004D11CA"/>
    <w:rsid w:val="004D1536"/>
    <w:rsid w:val="004D16E9"/>
    <w:rsid w:val="004D4A62"/>
    <w:rsid w:val="004F16C5"/>
    <w:rsid w:val="004F1DAF"/>
    <w:rsid w:val="004F2423"/>
    <w:rsid w:val="004F31D9"/>
    <w:rsid w:val="004F5BEB"/>
    <w:rsid w:val="00510275"/>
    <w:rsid w:val="005129B2"/>
    <w:rsid w:val="00517F83"/>
    <w:rsid w:val="0052305D"/>
    <w:rsid w:val="00523193"/>
    <w:rsid w:val="00526A24"/>
    <w:rsid w:val="0053089A"/>
    <w:rsid w:val="00540F33"/>
    <w:rsid w:val="0054122B"/>
    <w:rsid w:val="005428F3"/>
    <w:rsid w:val="005466D3"/>
    <w:rsid w:val="00551334"/>
    <w:rsid w:val="0055395E"/>
    <w:rsid w:val="00555396"/>
    <w:rsid w:val="00555FEF"/>
    <w:rsid w:val="0055660C"/>
    <w:rsid w:val="005618CE"/>
    <w:rsid w:val="00562605"/>
    <w:rsid w:val="00565FA4"/>
    <w:rsid w:val="00571DA7"/>
    <w:rsid w:val="0057470C"/>
    <w:rsid w:val="00574D68"/>
    <w:rsid w:val="00576E77"/>
    <w:rsid w:val="00577B91"/>
    <w:rsid w:val="00581497"/>
    <w:rsid w:val="005831E2"/>
    <w:rsid w:val="005847CE"/>
    <w:rsid w:val="005858CA"/>
    <w:rsid w:val="00585F8E"/>
    <w:rsid w:val="00586933"/>
    <w:rsid w:val="0059507F"/>
    <w:rsid w:val="00597EFD"/>
    <w:rsid w:val="005A2E26"/>
    <w:rsid w:val="005A4CCB"/>
    <w:rsid w:val="005A6D54"/>
    <w:rsid w:val="005B10CE"/>
    <w:rsid w:val="005B4A7C"/>
    <w:rsid w:val="005C0D40"/>
    <w:rsid w:val="005C1B86"/>
    <w:rsid w:val="005D2E86"/>
    <w:rsid w:val="005D486F"/>
    <w:rsid w:val="005D6790"/>
    <w:rsid w:val="005D7959"/>
    <w:rsid w:val="005E5134"/>
    <w:rsid w:val="005E713D"/>
    <w:rsid w:val="005E7E1D"/>
    <w:rsid w:val="005F1BA1"/>
    <w:rsid w:val="005F3182"/>
    <w:rsid w:val="005F505A"/>
    <w:rsid w:val="00600150"/>
    <w:rsid w:val="00602908"/>
    <w:rsid w:val="006045F9"/>
    <w:rsid w:val="00605C66"/>
    <w:rsid w:val="00606C86"/>
    <w:rsid w:val="006077CC"/>
    <w:rsid w:val="006103E0"/>
    <w:rsid w:val="006115B1"/>
    <w:rsid w:val="00613CBB"/>
    <w:rsid w:val="0061417C"/>
    <w:rsid w:val="00616360"/>
    <w:rsid w:val="0062056C"/>
    <w:rsid w:val="006208C4"/>
    <w:rsid w:val="006216C3"/>
    <w:rsid w:val="00621FC1"/>
    <w:rsid w:val="00622A76"/>
    <w:rsid w:val="00623BCF"/>
    <w:rsid w:val="00625E09"/>
    <w:rsid w:val="00627E2D"/>
    <w:rsid w:val="00627E66"/>
    <w:rsid w:val="006312D7"/>
    <w:rsid w:val="006323DC"/>
    <w:rsid w:val="00632C24"/>
    <w:rsid w:val="00635024"/>
    <w:rsid w:val="00641B97"/>
    <w:rsid w:val="00642CE1"/>
    <w:rsid w:val="006439AB"/>
    <w:rsid w:val="0064545F"/>
    <w:rsid w:val="00653012"/>
    <w:rsid w:val="00653B98"/>
    <w:rsid w:val="00654CE6"/>
    <w:rsid w:val="00656E86"/>
    <w:rsid w:val="006572CE"/>
    <w:rsid w:val="00661E27"/>
    <w:rsid w:val="00674927"/>
    <w:rsid w:val="006806F2"/>
    <w:rsid w:val="00687E6A"/>
    <w:rsid w:val="00690733"/>
    <w:rsid w:val="00691560"/>
    <w:rsid w:val="00694237"/>
    <w:rsid w:val="00694735"/>
    <w:rsid w:val="006A295C"/>
    <w:rsid w:val="006A2C9E"/>
    <w:rsid w:val="006A537A"/>
    <w:rsid w:val="006A631E"/>
    <w:rsid w:val="006A6D07"/>
    <w:rsid w:val="006B16F0"/>
    <w:rsid w:val="006C081B"/>
    <w:rsid w:val="006C19A8"/>
    <w:rsid w:val="006C3352"/>
    <w:rsid w:val="006C6028"/>
    <w:rsid w:val="006D0503"/>
    <w:rsid w:val="006D0B5A"/>
    <w:rsid w:val="006D2490"/>
    <w:rsid w:val="006D5B27"/>
    <w:rsid w:val="006F035C"/>
    <w:rsid w:val="006F03D3"/>
    <w:rsid w:val="006F21B2"/>
    <w:rsid w:val="006F2946"/>
    <w:rsid w:val="006F77C2"/>
    <w:rsid w:val="0070119E"/>
    <w:rsid w:val="00702857"/>
    <w:rsid w:val="00702D00"/>
    <w:rsid w:val="00703D4C"/>
    <w:rsid w:val="007063EF"/>
    <w:rsid w:val="0071142D"/>
    <w:rsid w:val="007139DE"/>
    <w:rsid w:val="0071747D"/>
    <w:rsid w:val="0072305A"/>
    <w:rsid w:val="00730536"/>
    <w:rsid w:val="00731C26"/>
    <w:rsid w:val="007328F6"/>
    <w:rsid w:val="00733ACA"/>
    <w:rsid w:val="007410FB"/>
    <w:rsid w:val="0074138F"/>
    <w:rsid w:val="00746D73"/>
    <w:rsid w:val="00747D24"/>
    <w:rsid w:val="00751D56"/>
    <w:rsid w:val="00752B0E"/>
    <w:rsid w:val="00752C75"/>
    <w:rsid w:val="00754FFC"/>
    <w:rsid w:val="00760FC0"/>
    <w:rsid w:val="00762F0D"/>
    <w:rsid w:val="00764242"/>
    <w:rsid w:val="00770347"/>
    <w:rsid w:val="00770EEA"/>
    <w:rsid w:val="007747C0"/>
    <w:rsid w:val="0077608B"/>
    <w:rsid w:val="00776D77"/>
    <w:rsid w:val="00777094"/>
    <w:rsid w:val="00783F65"/>
    <w:rsid w:val="007855EC"/>
    <w:rsid w:val="00795038"/>
    <w:rsid w:val="007955C3"/>
    <w:rsid w:val="00795F54"/>
    <w:rsid w:val="00796F43"/>
    <w:rsid w:val="007A04AE"/>
    <w:rsid w:val="007A6C65"/>
    <w:rsid w:val="007B2EB7"/>
    <w:rsid w:val="007B48AF"/>
    <w:rsid w:val="007B6027"/>
    <w:rsid w:val="007B7B55"/>
    <w:rsid w:val="007C0F6A"/>
    <w:rsid w:val="007C20A6"/>
    <w:rsid w:val="007C2F2E"/>
    <w:rsid w:val="007C6BE4"/>
    <w:rsid w:val="007D0031"/>
    <w:rsid w:val="007D04F9"/>
    <w:rsid w:val="007D39FD"/>
    <w:rsid w:val="007E1557"/>
    <w:rsid w:val="007F149F"/>
    <w:rsid w:val="007F4401"/>
    <w:rsid w:val="007F50DD"/>
    <w:rsid w:val="007F5868"/>
    <w:rsid w:val="007F59EF"/>
    <w:rsid w:val="007F5B6C"/>
    <w:rsid w:val="007F6488"/>
    <w:rsid w:val="008024C8"/>
    <w:rsid w:val="008064D0"/>
    <w:rsid w:val="00807459"/>
    <w:rsid w:val="00820662"/>
    <w:rsid w:val="008216C9"/>
    <w:rsid w:val="0082356C"/>
    <w:rsid w:val="008243FF"/>
    <w:rsid w:val="008276E4"/>
    <w:rsid w:val="008334CC"/>
    <w:rsid w:val="00833DB0"/>
    <w:rsid w:val="0083475F"/>
    <w:rsid w:val="00842962"/>
    <w:rsid w:val="008438B2"/>
    <w:rsid w:val="0085599B"/>
    <w:rsid w:val="00856478"/>
    <w:rsid w:val="008572E9"/>
    <w:rsid w:val="00861D12"/>
    <w:rsid w:val="00865BCE"/>
    <w:rsid w:val="00866867"/>
    <w:rsid w:val="00871CBA"/>
    <w:rsid w:val="00872EF9"/>
    <w:rsid w:val="0087633D"/>
    <w:rsid w:val="00882101"/>
    <w:rsid w:val="0088486B"/>
    <w:rsid w:val="00891181"/>
    <w:rsid w:val="00893BF8"/>
    <w:rsid w:val="008A2FBC"/>
    <w:rsid w:val="008A4087"/>
    <w:rsid w:val="008A7D1F"/>
    <w:rsid w:val="008B01DC"/>
    <w:rsid w:val="008B0EB0"/>
    <w:rsid w:val="008B6D24"/>
    <w:rsid w:val="008B7154"/>
    <w:rsid w:val="008C0CFB"/>
    <w:rsid w:val="008C0EF4"/>
    <w:rsid w:val="008C2D59"/>
    <w:rsid w:val="008C7FB4"/>
    <w:rsid w:val="008D06C3"/>
    <w:rsid w:val="008D0F0C"/>
    <w:rsid w:val="008D1546"/>
    <w:rsid w:val="008D3720"/>
    <w:rsid w:val="008D4630"/>
    <w:rsid w:val="008E0094"/>
    <w:rsid w:val="008E294D"/>
    <w:rsid w:val="008E557F"/>
    <w:rsid w:val="008E689A"/>
    <w:rsid w:val="008F54E7"/>
    <w:rsid w:val="008F6BF8"/>
    <w:rsid w:val="00912DD0"/>
    <w:rsid w:val="00913900"/>
    <w:rsid w:val="0091454C"/>
    <w:rsid w:val="00914C02"/>
    <w:rsid w:val="00915CCB"/>
    <w:rsid w:val="00921C6B"/>
    <w:rsid w:val="009226F4"/>
    <w:rsid w:val="00924955"/>
    <w:rsid w:val="00925D45"/>
    <w:rsid w:val="00926D8D"/>
    <w:rsid w:val="009300CC"/>
    <w:rsid w:val="00933AF2"/>
    <w:rsid w:val="00942D2A"/>
    <w:rsid w:val="00943079"/>
    <w:rsid w:val="00944549"/>
    <w:rsid w:val="009447F7"/>
    <w:rsid w:val="009460CD"/>
    <w:rsid w:val="00947168"/>
    <w:rsid w:val="0095017A"/>
    <w:rsid w:val="00951891"/>
    <w:rsid w:val="00954838"/>
    <w:rsid w:val="0095710A"/>
    <w:rsid w:val="00961285"/>
    <w:rsid w:val="00964A28"/>
    <w:rsid w:val="00966DB9"/>
    <w:rsid w:val="009678A4"/>
    <w:rsid w:val="00970D73"/>
    <w:rsid w:val="00971EEF"/>
    <w:rsid w:val="00977CD4"/>
    <w:rsid w:val="00980D97"/>
    <w:rsid w:val="009813BA"/>
    <w:rsid w:val="00983C5B"/>
    <w:rsid w:val="0098418F"/>
    <w:rsid w:val="00991127"/>
    <w:rsid w:val="00991F0A"/>
    <w:rsid w:val="00993AC8"/>
    <w:rsid w:val="00993D79"/>
    <w:rsid w:val="009A0C38"/>
    <w:rsid w:val="009A3DB1"/>
    <w:rsid w:val="009A6166"/>
    <w:rsid w:val="009B0293"/>
    <w:rsid w:val="009B1CB8"/>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3C0E"/>
    <w:rsid w:val="00A144BB"/>
    <w:rsid w:val="00A150D7"/>
    <w:rsid w:val="00A16C89"/>
    <w:rsid w:val="00A23891"/>
    <w:rsid w:val="00A23BD5"/>
    <w:rsid w:val="00A31590"/>
    <w:rsid w:val="00A32382"/>
    <w:rsid w:val="00A3354A"/>
    <w:rsid w:val="00A346ED"/>
    <w:rsid w:val="00A34E48"/>
    <w:rsid w:val="00A357FA"/>
    <w:rsid w:val="00A36598"/>
    <w:rsid w:val="00A42A25"/>
    <w:rsid w:val="00A44069"/>
    <w:rsid w:val="00A5200C"/>
    <w:rsid w:val="00A55952"/>
    <w:rsid w:val="00A60D92"/>
    <w:rsid w:val="00A623AF"/>
    <w:rsid w:val="00A62CD1"/>
    <w:rsid w:val="00A638BE"/>
    <w:rsid w:val="00A72B49"/>
    <w:rsid w:val="00A72C73"/>
    <w:rsid w:val="00A737B9"/>
    <w:rsid w:val="00A755BC"/>
    <w:rsid w:val="00A77040"/>
    <w:rsid w:val="00A777A4"/>
    <w:rsid w:val="00A8433A"/>
    <w:rsid w:val="00A860F4"/>
    <w:rsid w:val="00A87BF7"/>
    <w:rsid w:val="00A904F1"/>
    <w:rsid w:val="00A90FD3"/>
    <w:rsid w:val="00A97AE3"/>
    <w:rsid w:val="00AA1C11"/>
    <w:rsid w:val="00AA7304"/>
    <w:rsid w:val="00AB0C23"/>
    <w:rsid w:val="00AB1E10"/>
    <w:rsid w:val="00AB29D9"/>
    <w:rsid w:val="00AB2AED"/>
    <w:rsid w:val="00AC05B2"/>
    <w:rsid w:val="00AC1983"/>
    <w:rsid w:val="00AC38D8"/>
    <w:rsid w:val="00AC3AC9"/>
    <w:rsid w:val="00AD3823"/>
    <w:rsid w:val="00AD4589"/>
    <w:rsid w:val="00AE62AE"/>
    <w:rsid w:val="00AF1835"/>
    <w:rsid w:val="00AF2C3F"/>
    <w:rsid w:val="00AF2F28"/>
    <w:rsid w:val="00AF48AA"/>
    <w:rsid w:val="00AF49AD"/>
    <w:rsid w:val="00B033AF"/>
    <w:rsid w:val="00B0489F"/>
    <w:rsid w:val="00B06108"/>
    <w:rsid w:val="00B07A05"/>
    <w:rsid w:val="00B1313A"/>
    <w:rsid w:val="00B263E2"/>
    <w:rsid w:val="00B26536"/>
    <w:rsid w:val="00B3418D"/>
    <w:rsid w:val="00B40329"/>
    <w:rsid w:val="00B40AB9"/>
    <w:rsid w:val="00B428F6"/>
    <w:rsid w:val="00B43174"/>
    <w:rsid w:val="00B43C42"/>
    <w:rsid w:val="00B45D62"/>
    <w:rsid w:val="00B51FC9"/>
    <w:rsid w:val="00B536D8"/>
    <w:rsid w:val="00B5534A"/>
    <w:rsid w:val="00B56120"/>
    <w:rsid w:val="00B57416"/>
    <w:rsid w:val="00B60567"/>
    <w:rsid w:val="00B60C21"/>
    <w:rsid w:val="00B623C4"/>
    <w:rsid w:val="00B62912"/>
    <w:rsid w:val="00B65604"/>
    <w:rsid w:val="00B668E9"/>
    <w:rsid w:val="00B66D39"/>
    <w:rsid w:val="00B703AC"/>
    <w:rsid w:val="00B70BE7"/>
    <w:rsid w:val="00B719EF"/>
    <w:rsid w:val="00B72484"/>
    <w:rsid w:val="00B74BED"/>
    <w:rsid w:val="00B777DC"/>
    <w:rsid w:val="00B8327C"/>
    <w:rsid w:val="00B86D37"/>
    <w:rsid w:val="00B91384"/>
    <w:rsid w:val="00B933BD"/>
    <w:rsid w:val="00B93C94"/>
    <w:rsid w:val="00B944C9"/>
    <w:rsid w:val="00B97B9F"/>
    <w:rsid w:val="00B97BF9"/>
    <w:rsid w:val="00BA4A85"/>
    <w:rsid w:val="00BA4D30"/>
    <w:rsid w:val="00BA5950"/>
    <w:rsid w:val="00BB06FD"/>
    <w:rsid w:val="00BB0DA4"/>
    <w:rsid w:val="00BB1910"/>
    <w:rsid w:val="00BB28FB"/>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0D81"/>
    <w:rsid w:val="00BF428D"/>
    <w:rsid w:val="00BF6948"/>
    <w:rsid w:val="00C0524A"/>
    <w:rsid w:val="00C061CC"/>
    <w:rsid w:val="00C070AF"/>
    <w:rsid w:val="00C07ED4"/>
    <w:rsid w:val="00C10EAD"/>
    <w:rsid w:val="00C119D5"/>
    <w:rsid w:val="00C13CE2"/>
    <w:rsid w:val="00C2196E"/>
    <w:rsid w:val="00C244A7"/>
    <w:rsid w:val="00C246B8"/>
    <w:rsid w:val="00C246D8"/>
    <w:rsid w:val="00C25B52"/>
    <w:rsid w:val="00C26DFC"/>
    <w:rsid w:val="00C35C28"/>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3B78"/>
    <w:rsid w:val="00C70A9E"/>
    <w:rsid w:val="00C73FBE"/>
    <w:rsid w:val="00C76FEF"/>
    <w:rsid w:val="00C847B0"/>
    <w:rsid w:val="00C927D5"/>
    <w:rsid w:val="00C92AF0"/>
    <w:rsid w:val="00C92DBD"/>
    <w:rsid w:val="00C93456"/>
    <w:rsid w:val="00C93983"/>
    <w:rsid w:val="00C958FD"/>
    <w:rsid w:val="00C967FD"/>
    <w:rsid w:val="00C97D90"/>
    <w:rsid w:val="00CA15FE"/>
    <w:rsid w:val="00CA2615"/>
    <w:rsid w:val="00CA27A4"/>
    <w:rsid w:val="00CA3912"/>
    <w:rsid w:val="00CA409D"/>
    <w:rsid w:val="00CB20D4"/>
    <w:rsid w:val="00CC0B73"/>
    <w:rsid w:val="00CC0E91"/>
    <w:rsid w:val="00CC1FEA"/>
    <w:rsid w:val="00CC7F30"/>
    <w:rsid w:val="00CD101A"/>
    <w:rsid w:val="00CD1B0B"/>
    <w:rsid w:val="00CD2A4B"/>
    <w:rsid w:val="00CD3632"/>
    <w:rsid w:val="00CD6EAE"/>
    <w:rsid w:val="00CD7BE9"/>
    <w:rsid w:val="00CE74CB"/>
    <w:rsid w:val="00CE7E66"/>
    <w:rsid w:val="00CF108C"/>
    <w:rsid w:val="00CF26B7"/>
    <w:rsid w:val="00CF3DDD"/>
    <w:rsid w:val="00CF4E82"/>
    <w:rsid w:val="00CF68EF"/>
    <w:rsid w:val="00D00072"/>
    <w:rsid w:val="00D016F9"/>
    <w:rsid w:val="00D0180E"/>
    <w:rsid w:val="00D01C11"/>
    <w:rsid w:val="00D0306A"/>
    <w:rsid w:val="00D03364"/>
    <w:rsid w:val="00D03A0E"/>
    <w:rsid w:val="00D072AD"/>
    <w:rsid w:val="00D12A66"/>
    <w:rsid w:val="00D23F72"/>
    <w:rsid w:val="00D24B19"/>
    <w:rsid w:val="00D26AE0"/>
    <w:rsid w:val="00D302B0"/>
    <w:rsid w:val="00D305B9"/>
    <w:rsid w:val="00D34A9C"/>
    <w:rsid w:val="00D35964"/>
    <w:rsid w:val="00D3749E"/>
    <w:rsid w:val="00D41E2B"/>
    <w:rsid w:val="00D4708A"/>
    <w:rsid w:val="00D52003"/>
    <w:rsid w:val="00D52F2B"/>
    <w:rsid w:val="00D54D6A"/>
    <w:rsid w:val="00D55C4B"/>
    <w:rsid w:val="00D612C9"/>
    <w:rsid w:val="00D646BF"/>
    <w:rsid w:val="00D64A46"/>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38C4"/>
    <w:rsid w:val="00DA448C"/>
    <w:rsid w:val="00DA519A"/>
    <w:rsid w:val="00DA5AD5"/>
    <w:rsid w:val="00DB7699"/>
    <w:rsid w:val="00DC0183"/>
    <w:rsid w:val="00DC1517"/>
    <w:rsid w:val="00DC2CAC"/>
    <w:rsid w:val="00DC6C9A"/>
    <w:rsid w:val="00DD2F1B"/>
    <w:rsid w:val="00DD6780"/>
    <w:rsid w:val="00DD7E1C"/>
    <w:rsid w:val="00DE2243"/>
    <w:rsid w:val="00DE499E"/>
    <w:rsid w:val="00DE5DF3"/>
    <w:rsid w:val="00DE7735"/>
    <w:rsid w:val="00DF2713"/>
    <w:rsid w:val="00DF5D02"/>
    <w:rsid w:val="00DF7099"/>
    <w:rsid w:val="00E025C2"/>
    <w:rsid w:val="00E12331"/>
    <w:rsid w:val="00E129E1"/>
    <w:rsid w:val="00E21A4E"/>
    <w:rsid w:val="00E22FDA"/>
    <w:rsid w:val="00E243CE"/>
    <w:rsid w:val="00E26889"/>
    <w:rsid w:val="00E35FD2"/>
    <w:rsid w:val="00E4115B"/>
    <w:rsid w:val="00E418AE"/>
    <w:rsid w:val="00E41A6D"/>
    <w:rsid w:val="00E4267D"/>
    <w:rsid w:val="00E42BA8"/>
    <w:rsid w:val="00E4483D"/>
    <w:rsid w:val="00E44B76"/>
    <w:rsid w:val="00E45550"/>
    <w:rsid w:val="00E46900"/>
    <w:rsid w:val="00E46B41"/>
    <w:rsid w:val="00E502F1"/>
    <w:rsid w:val="00E50DCC"/>
    <w:rsid w:val="00E5721E"/>
    <w:rsid w:val="00E57488"/>
    <w:rsid w:val="00E60BE6"/>
    <w:rsid w:val="00E60F7F"/>
    <w:rsid w:val="00E63A03"/>
    <w:rsid w:val="00E63E7C"/>
    <w:rsid w:val="00E77A99"/>
    <w:rsid w:val="00E842F3"/>
    <w:rsid w:val="00E845ED"/>
    <w:rsid w:val="00E84793"/>
    <w:rsid w:val="00E8530E"/>
    <w:rsid w:val="00E9091D"/>
    <w:rsid w:val="00E927A1"/>
    <w:rsid w:val="00E93572"/>
    <w:rsid w:val="00E93638"/>
    <w:rsid w:val="00E94733"/>
    <w:rsid w:val="00E94AD2"/>
    <w:rsid w:val="00E94BAB"/>
    <w:rsid w:val="00E95853"/>
    <w:rsid w:val="00EA0D4E"/>
    <w:rsid w:val="00EB3AF2"/>
    <w:rsid w:val="00EB4772"/>
    <w:rsid w:val="00EB4DAD"/>
    <w:rsid w:val="00EB55E3"/>
    <w:rsid w:val="00EB7090"/>
    <w:rsid w:val="00EC0C6F"/>
    <w:rsid w:val="00EC1B97"/>
    <w:rsid w:val="00EC225D"/>
    <w:rsid w:val="00ED5181"/>
    <w:rsid w:val="00ED5A35"/>
    <w:rsid w:val="00ED6789"/>
    <w:rsid w:val="00ED67F2"/>
    <w:rsid w:val="00ED6E8C"/>
    <w:rsid w:val="00ED6F8A"/>
    <w:rsid w:val="00EE76CA"/>
    <w:rsid w:val="00EF580A"/>
    <w:rsid w:val="00F0065E"/>
    <w:rsid w:val="00F01275"/>
    <w:rsid w:val="00F0372B"/>
    <w:rsid w:val="00F04BFB"/>
    <w:rsid w:val="00F04C37"/>
    <w:rsid w:val="00F15014"/>
    <w:rsid w:val="00F1645E"/>
    <w:rsid w:val="00F16C72"/>
    <w:rsid w:val="00F30EDC"/>
    <w:rsid w:val="00F341B7"/>
    <w:rsid w:val="00F44EF7"/>
    <w:rsid w:val="00F4650A"/>
    <w:rsid w:val="00F516F3"/>
    <w:rsid w:val="00F52309"/>
    <w:rsid w:val="00F5295C"/>
    <w:rsid w:val="00F56004"/>
    <w:rsid w:val="00F56FC4"/>
    <w:rsid w:val="00F5773A"/>
    <w:rsid w:val="00F57897"/>
    <w:rsid w:val="00F57C2A"/>
    <w:rsid w:val="00F60FFE"/>
    <w:rsid w:val="00F63310"/>
    <w:rsid w:val="00F65BAC"/>
    <w:rsid w:val="00F71CCC"/>
    <w:rsid w:val="00F7307E"/>
    <w:rsid w:val="00F76E81"/>
    <w:rsid w:val="00F777DA"/>
    <w:rsid w:val="00F80072"/>
    <w:rsid w:val="00F8242D"/>
    <w:rsid w:val="00F845C1"/>
    <w:rsid w:val="00F92E34"/>
    <w:rsid w:val="00F93A97"/>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49FF"/>
    <w:rsid w:val="00FD7297"/>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6855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3</cp:revision>
  <dcterms:created xsi:type="dcterms:W3CDTF">2024-03-19T08:30:00Z</dcterms:created>
  <dcterms:modified xsi:type="dcterms:W3CDTF">2024-03-22T11:13:00Z</dcterms:modified>
</cp:coreProperties>
</file>