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0E412AAD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5EBFFF53" w14:textId="3519C237" w:rsidR="006F21B2" w:rsidRPr="00E5721E" w:rsidRDefault="006F21B2" w:rsidP="00442798">
      <w:pPr>
        <w:spacing w:after="0"/>
        <w:rPr>
          <w:rFonts w:ascii="Arial" w:hAnsi="Arial" w:cs="Arial"/>
        </w:rPr>
      </w:pPr>
      <w:r w:rsidRPr="00E5721E">
        <w:rPr>
          <w:rFonts w:ascii="Arial" w:hAnsi="Arial" w:cs="Arial"/>
        </w:rPr>
        <w:t xml:space="preserve">Zürich, </w:t>
      </w:r>
      <w:r w:rsidR="00FB7C48">
        <w:rPr>
          <w:rFonts w:ascii="Arial" w:hAnsi="Arial" w:cs="Arial"/>
        </w:rPr>
        <w:t>3</w:t>
      </w:r>
      <w:r w:rsidR="004A21FC">
        <w:rPr>
          <w:rFonts w:ascii="Arial" w:hAnsi="Arial" w:cs="Arial"/>
        </w:rPr>
        <w:t>1.</w:t>
      </w:r>
      <w:r w:rsidR="009B634A">
        <w:rPr>
          <w:rFonts w:ascii="Arial" w:hAnsi="Arial" w:cs="Arial"/>
        </w:rPr>
        <w:t>01.2024</w:t>
      </w:r>
    </w:p>
    <w:p w14:paraId="06B2FD2E" w14:textId="77777777" w:rsidR="006F21B2" w:rsidRPr="00E5721E" w:rsidRDefault="006F21B2" w:rsidP="00442798">
      <w:pPr>
        <w:spacing w:after="0"/>
        <w:rPr>
          <w:rFonts w:ascii="Arial" w:hAnsi="Arial" w:cs="Arial"/>
          <w:sz w:val="28"/>
        </w:rPr>
      </w:pPr>
    </w:p>
    <w:p w14:paraId="1BA78203" w14:textId="7D641B59" w:rsidR="006F21B2" w:rsidRPr="00E5721E" w:rsidRDefault="006F21B2" w:rsidP="00442798">
      <w:pPr>
        <w:spacing w:after="0"/>
        <w:rPr>
          <w:rFonts w:ascii="Arial" w:hAnsi="Arial" w:cs="Arial"/>
          <w:sz w:val="28"/>
        </w:rPr>
      </w:pPr>
    </w:p>
    <w:p w14:paraId="04337EB1" w14:textId="0366D38E" w:rsidR="006F21B2" w:rsidRPr="00E5721E" w:rsidRDefault="00A32382" w:rsidP="00442798">
      <w:pPr>
        <w:spacing w:after="0"/>
        <w:rPr>
          <w:rFonts w:ascii="Arial" w:hAnsi="Arial" w:cs="Arial"/>
          <w:b/>
          <w:sz w:val="28"/>
        </w:rPr>
      </w:pPr>
      <w:r w:rsidRPr="00E5721E">
        <w:rPr>
          <w:rFonts w:ascii="Arial" w:hAnsi="Arial" w:cs="Arial"/>
          <w:b/>
          <w:sz w:val="28"/>
        </w:rPr>
        <w:t>Pressebericht</w:t>
      </w:r>
    </w:p>
    <w:p w14:paraId="468FF85C" w14:textId="77777777" w:rsidR="006F21B2" w:rsidRPr="00E5721E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</w:rPr>
      </w:pPr>
    </w:p>
    <w:p w14:paraId="1C37B3C5" w14:textId="77777777" w:rsidR="006F21B2" w:rsidRPr="00E5721E" w:rsidRDefault="006F21B2" w:rsidP="00442798">
      <w:pPr>
        <w:spacing w:after="0"/>
        <w:rPr>
          <w:rFonts w:ascii="Arial" w:hAnsi="Arial" w:cs="Arial"/>
          <w:sz w:val="28"/>
        </w:rPr>
      </w:pPr>
    </w:p>
    <w:p w14:paraId="1FF857F2" w14:textId="02165573" w:rsidR="006F21B2" w:rsidRPr="00E5721E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Umfang: ca.</w:t>
      </w:r>
      <w:r w:rsidR="007855EC" w:rsidRPr="00E5721E">
        <w:rPr>
          <w:rFonts w:ascii="Arial" w:hAnsi="Arial" w:cs="Arial"/>
          <w:i/>
          <w:sz w:val="20"/>
        </w:rPr>
        <w:t xml:space="preserve"> </w:t>
      </w:r>
      <w:r w:rsidR="00101A59">
        <w:rPr>
          <w:rFonts w:ascii="Arial" w:hAnsi="Arial" w:cs="Arial"/>
          <w:i/>
          <w:sz w:val="20"/>
        </w:rPr>
        <w:t>4’57</w:t>
      </w:r>
      <w:r w:rsidR="0070119E" w:rsidRPr="00E5721E">
        <w:rPr>
          <w:rFonts w:ascii="Arial" w:hAnsi="Arial" w:cs="Arial"/>
          <w:i/>
          <w:sz w:val="20"/>
        </w:rPr>
        <w:t>0</w:t>
      </w:r>
      <w:r w:rsidR="007855EC" w:rsidRPr="00E5721E">
        <w:rPr>
          <w:rFonts w:ascii="Arial" w:hAnsi="Arial" w:cs="Arial"/>
          <w:i/>
          <w:sz w:val="20"/>
        </w:rPr>
        <w:t xml:space="preserve"> </w:t>
      </w:r>
      <w:r w:rsidRPr="00E5721E">
        <w:rPr>
          <w:rFonts w:ascii="Arial" w:hAnsi="Arial" w:cs="Arial"/>
          <w:i/>
          <w:sz w:val="20"/>
        </w:rPr>
        <w:t xml:space="preserve">Zeichen, </w:t>
      </w:r>
      <w:r w:rsidR="00C52EC8" w:rsidRPr="00E5721E">
        <w:rPr>
          <w:rFonts w:ascii="Arial" w:hAnsi="Arial" w:cs="Arial"/>
          <w:i/>
          <w:sz w:val="20"/>
        </w:rPr>
        <w:t xml:space="preserve">Text </w:t>
      </w:r>
      <w:r w:rsidRPr="00E5721E">
        <w:rPr>
          <w:rFonts w:ascii="Arial" w:hAnsi="Arial" w:cs="Arial"/>
          <w:i/>
          <w:sz w:val="20"/>
        </w:rPr>
        <w:t>inkl. Lead</w:t>
      </w:r>
      <w:r w:rsidR="000802C1" w:rsidRPr="00E5721E">
        <w:rPr>
          <w:rFonts w:ascii="Arial" w:hAnsi="Arial" w:cs="Arial"/>
          <w:i/>
          <w:sz w:val="20"/>
        </w:rPr>
        <w:t>,</w:t>
      </w:r>
      <w:r w:rsidR="00577B91" w:rsidRPr="00E5721E">
        <w:rPr>
          <w:rFonts w:ascii="Arial" w:hAnsi="Arial" w:cs="Arial"/>
          <w:i/>
          <w:sz w:val="20"/>
        </w:rPr>
        <w:t xml:space="preserve"> Zwischentitel</w:t>
      </w:r>
      <w:r w:rsidR="00101A59">
        <w:rPr>
          <w:rFonts w:ascii="Arial" w:hAnsi="Arial" w:cs="Arial"/>
          <w:i/>
          <w:sz w:val="20"/>
        </w:rPr>
        <w:t xml:space="preserve"> </w:t>
      </w:r>
      <w:r w:rsidR="00E23359" w:rsidRPr="00E5721E">
        <w:rPr>
          <w:rFonts w:ascii="Arial" w:hAnsi="Arial" w:cs="Arial"/>
          <w:i/>
          <w:sz w:val="20"/>
        </w:rPr>
        <w:t>sowie Leerschläge</w:t>
      </w:r>
      <w:r w:rsidR="00E23359">
        <w:rPr>
          <w:rFonts w:ascii="Arial" w:hAnsi="Arial" w:cs="Arial"/>
          <w:i/>
          <w:sz w:val="20"/>
        </w:rPr>
        <w:t xml:space="preserve">; </w:t>
      </w:r>
      <w:r w:rsidRPr="00E5721E">
        <w:rPr>
          <w:rFonts w:ascii="Arial" w:hAnsi="Arial" w:cs="Arial"/>
          <w:i/>
          <w:sz w:val="20"/>
        </w:rPr>
        <w:t>ohne Titel</w:t>
      </w:r>
      <w:r w:rsidR="008C0EF4" w:rsidRPr="00E5721E">
        <w:rPr>
          <w:rFonts w:ascii="Arial" w:hAnsi="Arial" w:cs="Arial"/>
          <w:i/>
          <w:sz w:val="20"/>
        </w:rPr>
        <w:t xml:space="preserve">, Kasten Holzenergie Schweiz </w:t>
      </w:r>
      <w:r w:rsidRPr="00E5721E">
        <w:rPr>
          <w:rFonts w:ascii="Arial" w:hAnsi="Arial" w:cs="Arial"/>
          <w:i/>
          <w:sz w:val="20"/>
        </w:rPr>
        <w:t xml:space="preserve">und </w:t>
      </w:r>
      <w:r w:rsidR="008C0EF4" w:rsidRPr="00E5721E">
        <w:rPr>
          <w:rFonts w:ascii="Arial" w:hAnsi="Arial" w:cs="Arial"/>
          <w:i/>
          <w:sz w:val="20"/>
        </w:rPr>
        <w:t>Bildlegenden</w:t>
      </w:r>
    </w:p>
    <w:p w14:paraId="1552AE6A" w14:textId="77777777" w:rsidR="006F21B2" w:rsidRPr="00E5721E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</w:rPr>
      </w:pPr>
    </w:p>
    <w:p w14:paraId="1FF9E7A2" w14:textId="77777777" w:rsidR="006F21B2" w:rsidRPr="00E5721E" w:rsidRDefault="006F21B2" w:rsidP="00442798">
      <w:pPr>
        <w:spacing w:after="0"/>
        <w:rPr>
          <w:rFonts w:ascii="Arial" w:hAnsi="Arial" w:cs="Arial"/>
          <w:sz w:val="28"/>
        </w:rPr>
      </w:pPr>
    </w:p>
    <w:p w14:paraId="13E4ED79" w14:textId="63E51DD1" w:rsidR="0026527F" w:rsidRPr="0026527F" w:rsidRDefault="0026527F" w:rsidP="00882101">
      <w:pPr>
        <w:spacing w:after="0"/>
        <w:rPr>
          <w:rFonts w:ascii="Arial" w:hAnsi="Arial" w:cs="Arial"/>
          <w:bCs/>
        </w:rPr>
      </w:pPr>
      <w:r w:rsidRPr="0026527F">
        <w:rPr>
          <w:rFonts w:ascii="Arial" w:hAnsi="Arial" w:cs="Arial"/>
          <w:bCs/>
        </w:rPr>
        <w:t>Titelvorschläge</w:t>
      </w:r>
      <w:r>
        <w:rPr>
          <w:rFonts w:ascii="Arial" w:hAnsi="Arial" w:cs="Arial"/>
          <w:bCs/>
        </w:rPr>
        <w:t>:</w:t>
      </w:r>
    </w:p>
    <w:p w14:paraId="01E55182" w14:textId="1F3D0D2C" w:rsidR="008A6FA8" w:rsidRDefault="009B634A" w:rsidP="0088210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Weniger Feinstaub </w:t>
      </w:r>
      <w:r w:rsidR="00625625">
        <w:rPr>
          <w:rFonts w:ascii="Arial" w:hAnsi="Arial" w:cs="Arial"/>
          <w:b/>
          <w:sz w:val="28"/>
        </w:rPr>
        <w:t>und</w:t>
      </w:r>
      <w:r>
        <w:rPr>
          <w:rFonts w:ascii="Arial" w:hAnsi="Arial" w:cs="Arial"/>
          <w:b/>
          <w:sz w:val="28"/>
        </w:rPr>
        <w:t xml:space="preserve"> mehr </w:t>
      </w:r>
      <w:r w:rsidR="005A4B69">
        <w:rPr>
          <w:rFonts w:ascii="Arial" w:hAnsi="Arial" w:cs="Arial"/>
          <w:b/>
          <w:sz w:val="28"/>
        </w:rPr>
        <w:t>Energie aus Holz</w:t>
      </w:r>
      <w:r>
        <w:rPr>
          <w:rFonts w:ascii="Arial" w:hAnsi="Arial" w:cs="Arial"/>
          <w:b/>
          <w:sz w:val="28"/>
        </w:rPr>
        <w:t xml:space="preserve"> </w:t>
      </w:r>
    </w:p>
    <w:p w14:paraId="27115948" w14:textId="7A6EB9A6" w:rsidR="002A65E7" w:rsidRDefault="002A65E7" w:rsidP="00882101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Wenig Feinstaub aus modernen, richtig betriebenen Holzfeuerungen </w:t>
      </w:r>
    </w:p>
    <w:p w14:paraId="6657ED27" w14:textId="77777777" w:rsidR="00C45C39" w:rsidRPr="00E5721E" w:rsidRDefault="00C45C39" w:rsidP="00442798">
      <w:pPr>
        <w:spacing w:after="0"/>
        <w:rPr>
          <w:rFonts w:ascii="Arial" w:hAnsi="Arial" w:cs="Arial"/>
          <w:b/>
          <w:sz w:val="28"/>
        </w:rPr>
      </w:pPr>
    </w:p>
    <w:p w14:paraId="59E647F3" w14:textId="3ABBC4E6" w:rsidR="00440A0B" w:rsidRPr="00955328" w:rsidRDefault="002A65E7" w:rsidP="00440A0B">
      <w:pPr>
        <w:spacing w:after="0"/>
        <w:rPr>
          <w:rFonts w:ascii="Arial" w:hAnsi="Arial" w:cs="Arial"/>
          <w:b/>
        </w:rPr>
      </w:pPr>
      <w:r w:rsidRPr="00955328">
        <w:rPr>
          <w:rFonts w:ascii="Arial" w:hAnsi="Arial" w:cs="Arial"/>
          <w:b/>
        </w:rPr>
        <w:t xml:space="preserve">Jeden Winter kommen Holzfeuerungen ins Gerede, weil sie Feinstaub emittieren. Das tun sie tatsächlich, aber </w:t>
      </w:r>
      <w:r w:rsidR="00955328" w:rsidRPr="00955328">
        <w:rPr>
          <w:rFonts w:ascii="Arial" w:hAnsi="Arial" w:cs="Arial"/>
          <w:b/>
        </w:rPr>
        <w:t xml:space="preserve">deutlich </w:t>
      </w:r>
      <w:r w:rsidRPr="00955328">
        <w:rPr>
          <w:rFonts w:ascii="Arial" w:hAnsi="Arial" w:cs="Arial"/>
          <w:b/>
        </w:rPr>
        <w:t xml:space="preserve">weniger als Viele denken und Manche behaupten. Moderne, richtig betriebene Holzfeuerungen </w:t>
      </w:r>
      <w:r w:rsidR="00955328">
        <w:rPr>
          <w:rFonts w:ascii="Arial" w:hAnsi="Arial" w:cs="Arial"/>
          <w:b/>
        </w:rPr>
        <w:t>erfüllen die Grenzwerte der Luftreinhalte-Verordnung LRV</w:t>
      </w:r>
      <w:r w:rsidR="00955328" w:rsidRPr="00955328">
        <w:rPr>
          <w:rFonts w:ascii="Arial" w:hAnsi="Arial" w:cs="Arial"/>
          <w:b/>
        </w:rPr>
        <w:t xml:space="preserve">. </w:t>
      </w:r>
      <w:r w:rsidR="00955328">
        <w:rPr>
          <w:rFonts w:ascii="Arial" w:hAnsi="Arial" w:cs="Arial"/>
          <w:b/>
        </w:rPr>
        <w:t xml:space="preserve">Daran gibt es nichts zu rütteln. </w:t>
      </w:r>
      <w:r w:rsidR="00955328" w:rsidRPr="00955328">
        <w:rPr>
          <w:rFonts w:ascii="Arial" w:hAnsi="Arial" w:cs="Arial"/>
          <w:b/>
        </w:rPr>
        <w:t xml:space="preserve">Die </w:t>
      </w:r>
      <w:r w:rsidR="00955328">
        <w:rPr>
          <w:rFonts w:ascii="Arial" w:hAnsi="Arial" w:cs="Arial"/>
          <w:b/>
        </w:rPr>
        <w:t>Holzenergie</w:t>
      </w:r>
      <w:r w:rsidR="00955328" w:rsidRPr="00955328">
        <w:rPr>
          <w:rFonts w:ascii="Arial" w:hAnsi="Arial" w:cs="Arial"/>
          <w:b/>
        </w:rPr>
        <w:t xml:space="preserve"> hat </w:t>
      </w:r>
      <w:r w:rsidR="00955328">
        <w:rPr>
          <w:rFonts w:ascii="Arial" w:hAnsi="Arial" w:cs="Arial"/>
          <w:b/>
        </w:rPr>
        <w:t xml:space="preserve">zudem </w:t>
      </w:r>
      <w:r w:rsidR="00955328" w:rsidRPr="00955328">
        <w:rPr>
          <w:rFonts w:ascii="Arial" w:hAnsi="Arial" w:cs="Arial"/>
          <w:b/>
        </w:rPr>
        <w:t>grosse Vorteile. Wir tun gut daran, die einheimische, erneuerbare</w:t>
      </w:r>
      <w:r w:rsidR="00D55553">
        <w:rPr>
          <w:rFonts w:ascii="Arial" w:hAnsi="Arial" w:cs="Arial"/>
          <w:b/>
        </w:rPr>
        <w:t xml:space="preserve"> und</w:t>
      </w:r>
      <w:r w:rsidR="00955328" w:rsidRPr="00955328">
        <w:rPr>
          <w:rFonts w:ascii="Arial" w:hAnsi="Arial" w:cs="Arial"/>
          <w:b/>
        </w:rPr>
        <w:t xml:space="preserve"> klimaneutrale Energiequelle nachhaltig zu nutzen.</w:t>
      </w:r>
      <w:r w:rsidRPr="00955328">
        <w:rPr>
          <w:rFonts w:ascii="Arial" w:hAnsi="Arial" w:cs="Arial"/>
          <w:b/>
        </w:rPr>
        <w:t xml:space="preserve"> </w:t>
      </w:r>
    </w:p>
    <w:p w14:paraId="72632CA3" w14:textId="77777777" w:rsidR="00440A0B" w:rsidRDefault="00440A0B" w:rsidP="00440A0B">
      <w:pPr>
        <w:spacing w:after="0"/>
        <w:rPr>
          <w:rFonts w:ascii="Arial" w:hAnsi="Arial" w:cs="Arial"/>
          <w:bCs/>
        </w:rPr>
      </w:pPr>
    </w:p>
    <w:p w14:paraId="71562E54" w14:textId="73E7F079" w:rsidR="00430CEE" w:rsidRDefault="006327F7" w:rsidP="009E06B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955328">
        <w:rPr>
          <w:rFonts w:ascii="Arial" w:hAnsi="Arial" w:cs="Arial"/>
          <w:bCs/>
        </w:rPr>
        <w:t>ie Feinstaubbelastung durch Holzfeuerungen</w:t>
      </w:r>
      <w:r>
        <w:rPr>
          <w:rFonts w:ascii="Arial" w:hAnsi="Arial" w:cs="Arial"/>
          <w:bCs/>
        </w:rPr>
        <w:t xml:space="preserve"> ist auch im neuen Jahr ein Thema</w:t>
      </w:r>
      <w:r w:rsidR="00955328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Leider verurteilen </w:t>
      </w:r>
      <w:r w:rsidR="00D55553">
        <w:rPr>
          <w:rFonts w:ascii="Arial" w:hAnsi="Arial" w:cs="Arial"/>
          <w:bCs/>
        </w:rPr>
        <w:t>manche</w:t>
      </w:r>
      <w:r>
        <w:rPr>
          <w:rFonts w:ascii="Arial" w:hAnsi="Arial" w:cs="Arial"/>
          <w:bCs/>
        </w:rPr>
        <w:t xml:space="preserve"> </w:t>
      </w:r>
      <w:r w:rsidR="00101A59">
        <w:rPr>
          <w:rFonts w:ascii="Arial" w:hAnsi="Arial" w:cs="Arial"/>
          <w:bCs/>
        </w:rPr>
        <w:t>Schreibende</w:t>
      </w:r>
      <w:r>
        <w:rPr>
          <w:rFonts w:ascii="Arial" w:hAnsi="Arial" w:cs="Arial"/>
          <w:bCs/>
        </w:rPr>
        <w:t xml:space="preserve"> </w:t>
      </w:r>
      <w:r w:rsidR="00955328">
        <w:rPr>
          <w:rFonts w:ascii="Arial" w:hAnsi="Arial" w:cs="Arial"/>
          <w:bCs/>
        </w:rPr>
        <w:t xml:space="preserve">die Nutzung der </w:t>
      </w:r>
      <w:r>
        <w:rPr>
          <w:rFonts w:ascii="Arial" w:hAnsi="Arial" w:cs="Arial"/>
          <w:bCs/>
        </w:rPr>
        <w:t>Holzenergie pauschal</w:t>
      </w:r>
      <w:r w:rsidR="00955328">
        <w:rPr>
          <w:rFonts w:ascii="Arial" w:hAnsi="Arial" w:cs="Arial"/>
          <w:bCs/>
        </w:rPr>
        <w:t xml:space="preserve">. Sie verzerren das Bild und biegen die Wahrheit bis zur Schmerzgrenze. </w:t>
      </w:r>
      <w:r w:rsidR="009B0C66">
        <w:rPr>
          <w:rFonts w:ascii="Arial" w:hAnsi="Arial" w:cs="Arial"/>
          <w:bCs/>
        </w:rPr>
        <w:t xml:space="preserve">Extremisten fordern gar ein Verbot von Holzfeuerungen wegen </w:t>
      </w:r>
      <w:r w:rsidR="00117D67">
        <w:rPr>
          <w:rFonts w:ascii="Arial" w:hAnsi="Arial" w:cs="Arial"/>
          <w:bCs/>
        </w:rPr>
        <w:t>ihrer</w:t>
      </w:r>
      <w:r w:rsidR="009B0C66">
        <w:rPr>
          <w:rFonts w:ascii="Arial" w:hAnsi="Arial" w:cs="Arial"/>
          <w:bCs/>
        </w:rPr>
        <w:t xml:space="preserve"> Feinstaubemissionen</w:t>
      </w:r>
      <w:r w:rsidR="00117D67">
        <w:rPr>
          <w:rFonts w:ascii="Arial" w:hAnsi="Arial" w:cs="Arial"/>
          <w:bCs/>
        </w:rPr>
        <w:t xml:space="preserve">. Das ist absurd. </w:t>
      </w:r>
      <w:r w:rsidR="00D55553">
        <w:rPr>
          <w:rFonts w:ascii="Arial" w:hAnsi="Arial" w:cs="Arial"/>
          <w:bCs/>
        </w:rPr>
        <w:t>E</w:t>
      </w:r>
      <w:r w:rsidR="00AA1F7B">
        <w:rPr>
          <w:rFonts w:ascii="Arial" w:hAnsi="Arial" w:cs="Arial"/>
          <w:bCs/>
        </w:rPr>
        <w:t xml:space="preserve">in </w:t>
      </w:r>
      <w:r w:rsidR="00D55553">
        <w:rPr>
          <w:rFonts w:ascii="Arial" w:hAnsi="Arial" w:cs="Arial"/>
          <w:bCs/>
        </w:rPr>
        <w:t>differenzierter</w:t>
      </w:r>
      <w:r>
        <w:rPr>
          <w:rFonts w:ascii="Arial" w:hAnsi="Arial" w:cs="Arial"/>
          <w:bCs/>
        </w:rPr>
        <w:t xml:space="preserve"> </w:t>
      </w:r>
      <w:r w:rsidR="00AA1F7B">
        <w:rPr>
          <w:rFonts w:ascii="Arial" w:hAnsi="Arial" w:cs="Arial"/>
          <w:bCs/>
        </w:rPr>
        <w:t xml:space="preserve">Blick auf die tatsächliche Situation zeigt ein </w:t>
      </w:r>
      <w:r>
        <w:rPr>
          <w:rFonts w:ascii="Arial" w:hAnsi="Arial" w:cs="Arial"/>
          <w:bCs/>
        </w:rPr>
        <w:t>völlig</w:t>
      </w:r>
      <w:r w:rsidR="00AA1F7B">
        <w:rPr>
          <w:rFonts w:ascii="Arial" w:hAnsi="Arial" w:cs="Arial"/>
          <w:bCs/>
        </w:rPr>
        <w:t xml:space="preserve"> anderes</w:t>
      </w:r>
      <w:r>
        <w:rPr>
          <w:rFonts w:ascii="Arial" w:hAnsi="Arial" w:cs="Arial"/>
          <w:bCs/>
        </w:rPr>
        <w:t xml:space="preserve"> </w:t>
      </w:r>
      <w:r w:rsidR="00AA1F7B">
        <w:rPr>
          <w:rFonts w:ascii="Arial" w:hAnsi="Arial" w:cs="Arial"/>
          <w:bCs/>
        </w:rPr>
        <w:t xml:space="preserve">Bild. </w:t>
      </w:r>
      <w:r w:rsidR="00602F0F">
        <w:rPr>
          <w:rFonts w:ascii="Arial" w:hAnsi="Arial" w:cs="Arial"/>
          <w:bCs/>
        </w:rPr>
        <w:t xml:space="preserve">Richtig ist: </w:t>
      </w:r>
      <w:r w:rsidR="00AA1F7B">
        <w:rPr>
          <w:rFonts w:ascii="Arial" w:hAnsi="Arial" w:cs="Arial"/>
          <w:bCs/>
        </w:rPr>
        <w:t xml:space="preserve">Alte und falsch betriebene Holzfeuerungen </w:t>
      </w:r>
      <w:r w:rsidR="00F005C5">
        <w:rPr>
          <w:rFonts w:ascii="Arial" w:hAnsi="Arial" w:cs="Arial"/>
          <w:bCs/>
        </w:rPr>
        <w:t>können</w:t>
      </w:r>
      <w:r w:rsidR="00AA1F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tatsächlich erhebliche</w:t>
      </w:r>
      <w:r w:rsidR="00AA1F7B">
        <w:rPr>
          <w:rFonts w:ascii="Arial" w:hAnsi="Arial" w:cs="Arial"/>
          <w:bCs/>
        </w:rPr>
        <w:t xml:space="preserve"> Feinstaubemissionen</w:t>
      </w:r>
      <w:r w:rsidR="00F005C5">
        <w:rPr>
          <w:rFonts w:ascii="Arial" w:hAnsi="Arial" w:cs="Arial"/>
          <w:bCs/>
        </w:rPr>
        <w:t xml:space="preserve"> verursachen</w:t>
      </w:r>
      <w:r w:rsidR="00F326B1">
        <w:rPr>
          <w:rFonts w:ascii="Arial" w:hAnsi="Arial" w:cs="Arial"/>
          <w:bCs/>
        </w:rPr>
        <w:t>. Moderne</w:t>
      </w:r>
      <w:r w:rsidR="00D55553">
        <w:rPr>
          <w:rFonts w:ascii="Arial" w:hAnsi="Arial" w:cs="Arial"/>
          <w:bCs/>
        </w:rPr>
        <w:t xml:space="preserve"> </w:t>
      </w:r>
      <w:r w:rsidR="00F005C5">
        <w:rPr>
          <w:rFonts w:ascii="Arial" w:hAnsi="Arial" w:cs="Arial"/>
          <w:bCs/>
        </w:rPr>
        <w:t xml:space="preserve">Anlagen </w:t>
      </w:r>
      <w:r w:rsidR="00D55553">
        <w:rPr>
          <w:rFonts w:ascii="Arial" w:hAnsi="Arial" w:cs="Arial"/>
          <w:bCs/>
        </w:rPr>
        <w:t>hin</w:t>
      </w:r>
      <w:r w:rsidR="00602F0F">
        <w:rPr>
          <w:rFonts w:ascii="Arial" w:hAnsi="Arial" w:cs="Arial"/>
          <w:bCs/>
        </w:rPr>
        <w:t xml:space="preserve">gegen </w:t>
      </w:r>
      <w:r>
        <w:rPr>
          <w:rFonts w:ascii="Arial" w:hAnsi="Arial" w:cs="Arial"/>
          <w:bCs/>
        </w:rPr>
        <w:t xml:space="preserve">setzen dank Filtern </w:t>
      </w:r>
      <w:r w:rsidR="00D55553">
        <w:rPr>
          <w:rFonts w:ascii="Arial" w:hAnsi="Arial" w:cs="Arial"/>
          <w:bCs/>
        </w:rPr>
        <w:t xml:space="preserve">und richtiger Betriebsweise </w:t>
      </w:r>
      <w:r>
        <w:rPr>
          <w:rFonts w:ascii="Arial" w:hAnsi="Arial" w:cs="Arial"/>
          <w:bCs/>
        </w:rPr>
        <w:t>nur geringe</w:t>
      </w:r>
      <w:r w:rsidR="00602F0F">
        <w:rPr>
          <w:rFonts w:ascii="Arial" w:hAnsi="Arial" w:cs="Arial"/>
          <w:bCs/>
        </w:rPr>
        <w:t xml:space="preserve"> Mengen</w:t>
      </w:r>
      <w:r w:rsidR="00F326B1">
        <w:rPr>
          <w:rFonts w:ascii="Arial" w:hAnsi="Arial" w:cs="Arial"/>
          <w:bCs/>
        </w:rPr>
        <w:t xml:space="preserve"> Feinstaub </w:t>
      </w:r>
      <w:r>
        <w:rPr>
          <w:rFonts w:ascii="Arial" w:hAnsi="Arial" w:cs="Arial"/>
          <w:bCs/>
        </w:rPr>
        <w:t>frei</w:t>
      </w:r>
      <w:r w:rsidR="00F326B1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Sie halten die in den letzten Jahren laufend verschärften Emissionsgrenzwerte der Luftreinhalte-Verordnung LRV ein</w:t>
      </w:r>
      <w:r w:rsidR="00D55553">
        <w:rPr>
          <w:rFonts w:ascii="Arial" w:hAnsi="Arial" w:cs="Arial"/>
          <w:bCs/>
        </w:rPr>
        <w:t xml:space="preserve">. </w:t>
      </w:r>
      <w:r w:rsidR="00F326B1">
        <w:rPr>
          <w:rFonts w:ascii="Arial" w:hAnsi="Arial" w:cs="Arial"/>
          <w:bCs/>
        </w:rPr>
        <w:t xml:space="preserve">Ein </w:t>
      </w:r>
      <w:r w:rsidR="00602F0F">
        <w:rPr>
          <w:rFonts w:ascii="Arial" w:hAnsi="Arial" w:cs="Arial"/>
          <w:bCs/>
        </w:rPr>
        <w:t xml:space="preserve">pauschales </w:t>
      </w:r>
      <w:r w:rsidR="00F326B1">
        <w:rPr>
          <w:rFonts w:ascii="Arial" w:hAnsi="Arial" w:cs="Arial"/>
          <w:bCs/>
        </w:rPr>
        <w:t>Verbot aller Holzheizungen wäre etwa das Gleiche</w:t>
      </w:r>
      <w:r w:rsidR="00F005C5">
        <w:rPr>
          <w:rFonts w:ascii="Arial" w:hAnsi="Arial" w:cs="Arial"/>
          <w:bCs/>
        </w:rPr>
        <w:t>,</w:t>
      </w:r>
      <w:r w:rsidR="00F326B1">
        <w:rPr>
          <w:rFonts w:ascii="Arial" w:hAnsi="Arial" w:cs="Arial"/>
          <w:bCs/>
        </w:rPr>
        <w:t xml:space="preserve"> wie ein totales </w:t>
      </w:r>
      <w:r w:rsidR="00D55553">
        <w:rPr>
          <w:rFonts w:ascii="Arial" w:hAnsi="Arial" w:cs="Arial"/>
          <w:bCs/>
        </w:rPr>
        <w:t>Auto-Verbot</w:t>
      </w:r>
      <w:r w:rsidR="00F326B1">
        <w:rPr>
          <w:rFonts w:ascii="Arial" w:hAnsi="Arial" w:cs="Arial"/>
          <w:bCs/>
        </w:rPr>
        <w:t xml:space="preserve">, bloss weil </w:t>
      </w:r>
      <w:r w:rsidR="00D55553">
        <w:rPr>
          <w:rFonts w:ascii="Arial" w:hAnsi="Arial" w:cs="Arial"/>
          <w:bCs/>
        </w:rPr>
        <w:t>Oldtimer hohe Schadstoffmengen ausstossen</w:t>
      </w:r>
      <w:r w:rsidR="00F326B1">
        <w:rPr>
          <w:rFonts w:ascii="Arial" w:hAnsi="Arial" w:cs="Arial"/>
          <w:bCs/>
        </w:rPr>
        <w:t>. Kein Mensch würde so etwas durchsetzen wollen</w:t>
      </w:r>
      <w:r w:rsidR="00D55553">
        <w:rPr>
          <w:rFonts w:ascii="Arial" w:hAnsi="Arial" w:cs="Arial"/>
          <w:bCs/>
        </w:rPr>
        <w:t xml:space="preserve"> und können</w:t>
      </w:r>
      <w:r w:rsidR="00F326B1">
        <w:rPr>
          <w:rFonts w:ascii="Arial" w:hAnsi="Arial" w:cs="Arial"/>
          <w:bCs/>
        </w:rPr>
        <w:t>.</w:t>
      </w:r>
      <w:r w:rsidR="00D55553">
        <w:rPr>
          <w:rFonts w:ascii="Arial" w:hAnsi="Arial" w:cs="Arial"/>
          <w:bCs/>
        </w:rPr>
        <w:t xml:space="preserve"> </w:t>
      </w:r>
    </w:p>
    <w:p w14:paraId="2292757D" w14:textId="77777777" w:rsidR="00AA1F7B" w:rsidRDefault="00AA1F7B" w:rsidP="009E06BE">
      <w:pPr>
        <w:spacing w:after="0"/>
        <w:rPr>
          <w:rFonts w:ascii="Arial" w:hAnsi="Arial" w:cs="Arial"/>
          <w:bCs/>
        </w:rPr>
      </w:pPr>
    </w:p>
    <w:p w14:paraId="0263B0B2" w14:textId="2E796D17" w:rsidR="00602F0F" w:rsidRPr="00602F0F" w:rsidRDefault="004B7127" w:rsidP="009E06B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Fakt 1: M</w:t>
      </w:r>
      <w:r w:rsidR="00602F0F" w:rsidRPr="00602F0F">
        <w:rPr>
          <w:rFonts w:ascii="Arial" w:hAnsi="Arial" w:cs="Arial"/>
          <w:b/>
        </w:rPr>
        <w:t>oderne, richtig betriebene Holzfeuerungen sind feinstaubarm</w:t>
      </w:r>
    </w:p>
    <w:p w14:paraId="09B6DFA6" w14:textId="77777777" w:rsidR="00602F0F" w:rsidRDefault="00602F0F" w:rsidP="009E06BE">
      <w:pPr>
        <w:spacing w:after="0"/>
        <w:rPr>
          <w:rFonts w:ascii="Arial" w:hAnsi="Arial" w:cs="Arial"/>
          <w:bCs/>
        </w:rPr>
      </w:pPr>
    </w:p>
    <w:p w14:paraId="0F76ACDC" w14:textId="3BE94D33" w:rsidR="00602F0F" w:rsidRDefault="00602F0F" w:rsidP="009E06B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Handlungs</w:t>
      </w:r>
      <w:r w:rsidR="00F005C5">
        <w:rPr>
          <w:rFonts w:ascii="Arial" w:hAnsi="Arial" w:cs="Arial"/>
          <w:bCs/>
        </w:rPr>
        <w:t>möglichkeiten zur weiteren Feinstaubreduktion bestehen</w:t>
      </w:r>
      <w:r w:rsidR="0057148C">
        <w:rPr>
          <w:rFonts w:ascii="Arial" w:hAnsi="Arial" w:cs="Arial"/>
          <w:bCs/>
        </w:rPr>
        <w:t xml:space="preserve"> zwei Bereichen</w:t>
      </w:r>
      <w:r w:rsidR="00D43F2C">
        <w:rPr>
          <w:rFonts w:ascii="Arial" w:hAnsi="Arial" w:cs="Arial"/>
          <w:bCs/>
        </w:rPr>
        <w:t xml:space="preserve">. Erstens auf der technischen Ebene, </w:t>
      </w:r>
      <w:r>
        <w:rPr>
          <w:rFonts w:ascii="Arial" w:hAnsi="Arial" w:cs="Arial"/>
          <w:bCs/>
        </w:rPr>
        <w:t xml:space="preserve">bei handbeschickten, alten Anlagen. Besonders kritisch sind </w:t>
      </w:r>
      <w:r>
        <w:rPr>
          <w:rFonts w:ascii="Arial" w:hAnsi="Arial" w:cs="Arial"/>
          <w:bCs/>
        </w:rPr>
        <w:lastRenderedPageBreak/>
        <w:t xml:space="preserve">offene Cheminées. </w:t>
      </w:r>
      <w:r w:rsidR="00F005C5">
        <w:rPr>
          <w:rFonts w:ascii="Arial" w:hAnsi="Arial" w:cs="Arial"/>
          <w:bCs/>
        </w:rPr>
        <w:t>Sie haben</w:t>
      </w:r>
      <w:r>
        <w:rPr>
          <w:rFonts w:ascii="Arial" w:hAnsi="Arial" w:cs="Arial"/>
          <w:bCs/>
        </w:rPr>
        <w:t xml:space="preserve"> nicht nur einen miserablen energetischen Wirkungsgrad, sondern </w:t>
      </w:r>
      <w:r w:rsidR="00F005C5">
        <w:rPr>
          <w:rFonts w:ascii="Arial" w:hAnsi="Arial" w:cs="Arial"/>
          <w:bCs/>
        </w:rPr>
        <w:t xml:space="preserve">können </w:t>
      </w:r>
      <w:r w:rsidR="00D43F2C">
        <w:rPr>
          <w:rFonts w:ascii="Arial" w:hAnsi="Arial" w:cs="Arial"/>
          <w:bCs/>
        </w:rPr>
        <w:t>auch regelrechte Schadstoffschleudern sein</w:t>
      </w:r>
      <w:r w:rsidR="00F005C5">
        <w:rPr>
          <w:rFonts w:ascii="Arial" w:hAnsi="Arial" w:cs="Arial"/>
          <w:bCs/>
        </w:rPr>
        <w:t xml:space="preserve"> und belasten damit die Schadstoffbilanz der Holzheizungen übermässig. </w:t>
      </w:r>
      <w:r w:rsidR="0057148C">
        <w:rPr>
          <w:rFonts w:ascii="Arial" w:hAnsi="Arial" w:cs="Arial"/>
          <w:bCs/>
        </w:rPr>
        <w:t>Holzenergie Schweiz fordert den</w:t>
      </w:r>
      <w:r>
        <w:rPr>
          <w:rFonts w:ascii="Arial" w:hAnsi="Arial" w:cs="Arial"/>
          <w:bCs/>
        </w:rPr>
        <w:t xml:space="preserve"> Vollzug</w:t>
      </w:r>
      <w:r w:rsidR="0057148C">
        <w:rPr>
          <w:rFonts w:ascii="Arial" w:hAnsi="Arial" w:cs="Arial"/>
          <w:bCs/>
        </w:rPr>
        <w:t xml:space="preserve"> der</w:t>
      </w:r>
      <w:r w:rsidR="004B7127">
        <w:rPr>
          <w:rFonts w:ascii="Arial" w:hAnsi="Arial" w:cs="Arial"/>
          <w:bCs/>
        </w:rPr>
        <w:t xml:space="preserve"> heute geltenden Vorschriften der </w:t>
      </w:r>
      <w:r w:rsidR="0057148C">
        <w:rPr>
          <w:rFonts w:ascii="Arial" w:hAnsi="Arial" w:cs="Arial"/>
          <w:bCs/>
        </w:rPr>
        <w:t>LRV</w:t>
      </w:r>
      <w:r w:rsidR="004B7127">
        <w:rPr>
          <w:rFonts w:ascii="Arial" w:hAnsi="Arial" w:cs="Arial"/>
          <w:bCs/>
        </w:rPr>
        <w:t xml:space="preserve"> und dabei den Ersatz oder die Stilllegung </w:t>
      </w:r>
      <w:r>
        <w:rPr>
          <w:rFonts w:ascii="Arial" w:hAnsi="Arial" w:cs="Arial"/>
          <w:bCs/>
        </w:rPr>
        <w:t>offene</w:t>
      </w:r>
      <w:r w:rsidR="004B7127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 xml:space="preserve"> Cheminées </w:t>
      </w:r>
      <w:r w:rsidR="00D43F2C">
        <w:rPr>
          <w:rFonts w:ascii="Arial" w:hAnsi="Arial" w:cs="Arial"/>
          <w:bCs/>
        </w:rPr>
        <w:t>innert nützlicher Frist</w:t>
      </w:r>
      <w:r>
        <w:rPr>
          <w:rFonts w:ascii="Arial" w:hAnsi="Arial" w:cs="Arial"/>
          <w:bCs/>
        </w:rPr>
        <w:t>.</w:t>
      </w:r>
      <w:r w:rsidR="00D43F2C">
        <w:rPr>
          <w:rFonts w:ascii="Arial" w:hAnsi="Arial" w:cs="Arial"/>
          <w:bCs/>
        </w:rPr>
        <w:t xml:space="preserve"> Gleiches gilt für zahlreiche Uralt-Anlagen, die nach wie vor installiert sind und in Zeiten hoher Öl-, Gas- und Strompreise fleissig genutzt werden.</w:t>
      </w:r>
    </w:p>
    <w:p w14:paraId="7192D472" w14:textId="77777777" w:rsidR="00D43F2C" w:rsidRDefault="00D43F2C" w:rsidP="009E06BE">
      <w:pPr>
        <w:spacing w:after="0"/>
        <w:rPr>
          <w:rFonts w:ascii="Arial" w:hAnsi="Arial" w:cs="Arial"/>
          <w:bCs/>
        </w:rPr>
      </w:pPr>
    </w:p>
    <w:p w14:paraId="2941E810" w14:textId="6EE79E5E" w:rsidR="00D43F2C" w:rsidRDefault="00D43F2C" w:rsidP="009E06B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Zweitens </w:t>
      </w:r>
      <w:r w:rsidR="00F005C5">
        <w:rPr>
          <w:rFonts w:ascii="Arial" w:hAnsi="Arial" w:cs="Arial"/>
          <w:bCs/>
        </w:rPr>
        <w:t xml:space="preserve">besteht Verbesserungspotenzial </w:t>
      </w:r>
      <w:r>
        <w:rPr>
          <w:rFonts w:ascii="Arial" w:hAnsi="Arial" w:cs="Arial"/>
          <w:bCs/>
        </w:rPr>
        <w:t xml:space="preserve">auf der Ebene des Verhaltens der Betreiberinnen und Betreiber handbeschickter Anlagen. Schadstoffemissionen </w:t>
      </w:r>
      <w:r w:rsidR="00A46BD7">
        <w:rPr>
          <w:rFonts w:ascii="Arial" w:hAnsi="Arial" w:cs="Arial"/>
          <w:bCs/>
        </w:rPr>
        <w:t>sind von</w:t>
      </w:r>
      <w:r>
        <w:rPr>
          <w:rFonts w:ascii="Arial" w:hAnsi="Arial" w:cs="Arial"/>
          <w:bCs/>
        </w:rPr>
        <w:t xml:space="preserve"> </w:t>
      </w:r>
      <w:r w:rsidR="0057148C">
        <w:rPr>
          <w:rFonts w:ascii="Arial" w:hAnsi="Arial" w:cs="Arial"/>
          <w:bCs/>
        </w:rPr>
        <w:t>der Betriebsweise</w:t>
      </w:r>
      <w:r>
        <w:rPr>
          <w:rFonts w:ascii="Arial" w:hAnsi="Arial" w:cs="Arial"/>
          <w:bCs/>
        </w:rPr>
        <w:t xml:space="preserve"> abhängig. D</w:t>
      </w:r>
      <w:r w:rsidR="0057148C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e </w:t>
      </w:r>
      <w:r w:rsidR="0057148C">
        <w:rPr>
          <w:rFonts w:ascii="Arial" w:hAnsi="Arial" w:cs="Arial"/>
          <w:bCs/>
        </w:rPr>
        <w:t>Aussage</w:t>
      </w:r>
      <w:r>
        <w:rPr>
          <w:rFonts w:ascii="Arial" w:hAnsi="Arial" w:cs="Arial"/>
          <w:bCs/>
        </w:rPr>
        <w:t xml:space="preserve"> «Jede Holzheizung ist so sauber</w:t>
      </w:r>
      <w:r w:rsidR="00101A5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wie sie betrieben wird.», </w:t>
      </w:r>
      <w:r w:rsidR="00A46BD7">
        <w:rPr>
          <w:rFonts w:ascii="Arial" w:hAnsi="Arial" w:cs="Arial"/>
          <w:bCs/>
        </w:rPr>
        <w:t>ist im Grundsatz richtig</w:t>
      </w:r>
      <w:r>
        <w:rPr>
          <w:rFonts w:ascii="Arial" w:hAnsi="Arial" w:cs="Arial"/>
          <w:bCs/>
        </w:rPr>
        <w:t xml:space="preserve">. Das Einhalten einiger </w:t>
      </w:r>
      <w:r w:rsidR="00A46BD7">
        <w:rPr>
          <w:rFonts w:ascii="Arial" w:hAnsi="Arial" w:cs="Arial"/>
          <w:bCs/>
        </w:rPr>
        <w:t>einfach</w:t>
      </w:r>
      <w:r>
        <w:rPr>
          <w:rFonts w:ascii="Arial" w:hAnsi="Arial" w:cs="Arial"/>
          <w:bCs/>
        </w:rPr>
        <w:t xml:space="preserve">er Regeln macht den Unterschied zwischen Dreckschleuder und sauberer Energiegewinnung. </w:t>
      </w:r>
      <w:r w:rsidR="001B2F55">
        <w:rPr>
          <w:rFonts w:ascii="Arial" w:hAnsi="Arial" w:cs="Arial"/>
          <w:bCs/>
        </w:rPr>
        <w:t xml:space="preserve">Dazu gehören das </w:t>
      </w:r>
      <w:r w:rsidR="001B2F55" w:rsidRPr="001B2F55">
        <w:rPr>
          <w:rFonts w:ascii="Arial" w:hAnsi="Arial" w:cs="Arial"/>
          <w:bCs/>
        </w:rPr>
        <w:t>richtig</w:t>
      </w:r>
      <w:r w:rsidR="001B2F55">
        <w:rPr>
          <w:rFonts w:ascii="Arial" w:hAnsi="Arial" w:cs="Arial"/>
          <w:bCs/>
        </w:rPr>
        <w:t>e</w:t>
      </w:r>
      <w:r w:rsidR="001B2F55" w:rsidRPr="001B2F55">
        <w:rPr>
          <w:rFonts w:ascii="Arial" w:hAnsi="Arial" w:cs="Arial"/>
          <w:bCs/>
        </w:rPr>
        <w:t xml:space="preserve"> </w:t>
      </w:r>
      <w:r w:rsidR="001B2F55">
        <w:rPr>
          <w:rFonts w:ascii="Arial" w:hAnsi="Arial" w:cs="Arial"/>
          <w:bCs/>
        </w:rPr>
        <w:t>A</w:t>
      </w:r>
      <w:r w:rsidR="001B2F55" w:rsidRPr="001B2F55">
        <w:rPr>
          <w:rFonts w:ascii="Arial" w:hAnsi="Arial" w:cs="Arial"/>
          <w:bCs/>
        </w:rPr>
        <w:t xml:space="preserve">nfeuern, </w:t>
      </w:r>
      <w:r w:rsidR="001B2F55">
        <w:rPr>
          <w:rFonts w:ascii="Arial" w:hAnsi="Arial" w:cs="Arial"/>
          <w:bCs/>
        </w:rPr>
        <w:t>das Regulieren der Luftklappen gemäss Herstellerangaben und die Verwendung von</w:t>
      </w:r>
      <w:r w:rsidR="001B2F55" w:rsidRPr="001B2F55">
        <w:rPr>
          <w:rFonts w:ascii="Arial" w:hAnsi="Arial" w:cs="Arial"/>
          <w:bCs/>
        </w:rPr>
        <w:t xml:space="preserve"> ausschliesslich trockene</w:t>
      </w:r>
      <w:r w:rsidR="001B2F55">
        <w:rPr>
          <w:rFonts w:ascii="Arial" w:hAnsi="Arial" w:cs="Arial"/>
          <w:bCs/>
        </w:rPr>
        <w:t>m</w:t>
      </w:r>
      <w:r w:rsidR="001B2F55" w:rsidRPr="001B2F55">
        <w:rPr>
          <w:rFonts w:ascii="Arial" w:hAnsi="Arial" w:cs="Arial"/>
          <w:bCs/>
        </w:rPr>
        <w:t>, naturbelassene</w:t>
      </w:r>
      <w:r w:rsidR="001B2F55">
        <w:rPr>
          <w:rFonts w:ascii="Arial" w:hAnsi="Arial" w:cs="Arial"/>
          <w:bCs/>
        </w:rPr>
        <w:t>m</w:t>
      </w:r>
      <w:r w:rsidR="001B2F55" w:rsidRPr="001B2F55">
        <w:rPr>
          <w:rFonts w:ascii="Arial" w:hAnsi="Arial" w:cs="Arial"/>
          <w:bCs/>
        </w:rPr>
        <w:t xml:space="preserve"> Holz</w:t>
      </w:r>
      <w:r w:rsidR="001B2F55">
        <w:rPr>
          <w:rFonts w:ascii="Arial" w:hAnsi="Arial" w:cs="Arial"/>
          <w:bCs/>
        </w:rPr>
        <w:t>.</w:t>
      </w:r>
    </w:p>
    <w:p w14:paraId="0B2CF6CD" w14:textId="77777777" w:rsidR="00D43F2C" w:rsidRDefault="00D43F2C" w:rsidP="009E06BE">
      <w:pPr>
        <w:spacing w:after="0"/>
        <w:rPr>
          <w:rFonts w:ascii="Arial" w:hAnsi="Arial" w:cs="Arial"/>
          <w:bCs/>
        </w:rPr>
      </w:pPr>
    </w:p>
    <w:p w14:paraId="6FE0A8A2" w14:textId="69AAF6E6" w:rsidR="00D43F2C" w:rsidRPr="001B2F55" w:rsidRDefault="001B2F55" w:rsidP="009E06BE">
      <w:pPr>
        <w:spacing w:after="0"/>
        <w:rPr>
          <w:rFonts w:ascii="Arial" w:hAnsi="Arial" w:cs="Arial"/>
          <w:b/>
        </w:rPr>
      </w:pPr>
      <w:r w:rsidRPr="001B2F55">
        <w:rPr>
          <w:rFonts w:ascii="Arial" w:hAnsi="Arial" w:cs="Arial"/>
          <w:b/>
        </w:rPr>
        <w:t xml:space="preserve">Fakt </w:t>
      </w:r>
      <w:r w:rsidR="004B7127">
        <w:rPr>
          <w:rFonts w:ascii="Arial" w:hAnsi="Arial" w:cs="Arial"/>
          <w:b/>
        </w:rPr>
        <w:t>2</w:t>
      </w:r>
      <w:r w:rsidRPr="001B2F55">
        <w:rPr>
          <w:rFonts w:ascii="Arial" w:hAnsi="Arial" w:cs="Arial"/>
          <w:b/>
        </w:rPr>
        <w:t>: Seit 1990 Verdoppelung der Energieproduktion</w:t>
      </w:r>
      <w:r w:rsidR="0057148C">
        <w:rPr>
          <w:rFonts w:ascii="Arial" w:hAnsi="Arial" w:cs="Arial"/>
          <w:b/>
        </w:rPr>
        <w:t xml:space="preserve"> und</w:t>
      </w:r>
      <w:r w:rsidRPr="001B2F55">
        <w:rPr>
          <w:rFonts w:ascii="Arial" w:hAnsi="Arial" w:cs="Arial"/>
          <w:b/>
        </w:rPr>
        <w:t xml:space="preserve"> Reduktion des Feinstaubs um 7</w:t>
      </w:r>
      <w:r>
        <w:rPr>
          <w:rFonts w:ascii="Arial" w:hAnsi="Arial" w:cs="Arial"/>
          <w:b/>
        </w:rPr>
        <w:t>0</w:t>
      </w:r>
      <w:r w:rsidRPr="001B2F55">
        <w:rPr>
          <w:rFonts w:ascii="Arial" w:hAnsi="Arial" w:cs="Arial"/>
          <w:b/>
        </w:rPr>
        <w:t xml:space="preserve"> Prozent! </w:t>
      </w:r>
    </w:p>
    <w:p w14:paraId="32D08C2B" w14:textId="77777777" w:rsidR="00AA1F7B" w:rsidRDefault="00AA1F7B" w:rsidP="009E06BE">
      <w:pPr>
        <w:spacing w:after="0"/>
        <w:rPr>
          <w:rFonts w:ascii="Arial" w:hAnsi="Arial" w:cs="Arial"/>
          <w:bCs/>
        </w:rPr>
      </w:pPr>
    </w:p>
    <w:p w14:paraId="6A16485D" w14:textId="39866D06" w:rsidR="00B240F5" w:rsidRDefault="005A7330" w:rsidP="009E06BE">
      <w:pPr>
        <w:spacing w:after="0"/>
        <w:rPr>
          <w:rFonts w:ascii="Arial" w:hAnsi="Arial" w:cs="Arial"/>
          <w:bCs/>
        </w:rPr>
      </w:pPr>
      <w:bookmarkStart w:id="0" w:name="_Hlk157424794"/>
      <w:r>
        <w:rPr>
          <w:rFonts w:ascii="Arial" w:hAnsi="Arial" w:cs="Arial"/>
          <w:bCs/>
        </w:rPr>
        <w:t xml:space="preserve">Die genutzte Energieholzmenge hat sich </w:t>
      </w:r>
      <w:r w:rsidR="00A46BD7">
        <w:rPr>
          <w:rFonts w:ascii="Arial" w:hAnsi="Arial" w:cs="Arial"/>
          <w:bCs/>
        </w:rPr>
        <w:t xml:space="preserve">gemäss Schweizerischer Holzenergiestatistik des Bundesamts für Energie BFE </w:t>
      </w:r>
      <w:r>
        <w:rPr>
          <w:rFonts w:ascii="Arial" w:hAnsi="Arial" w:cs="Arial"/>
          <w:bCs/>
        </w:rPr>
        <w:t xml:space="preserve">zwischen 1990 </w:t>
      </w:r>
      <w:r w:rsidR="00994D79">
        <w:rPr>
          <w:rFonts w:ascii="Arial" w:hAnsi="Arial" w:cs="Arial"/>
          <w:bCs/>
        </w:rPr>
        <w:t xml:space="preserve">und 2022 </w:t>
      </w:r>
      <w:r>
        <w:rPr>
          <w:rFonts w:ascii="Arial" w:hAnsi="Arial" w:cs="Arial"/>
          <w:bCs/>
        </w:rPr>
        <w:t>von 3 auf 5,</w:t>
      </w:r>
      <w:r w:rsidR="00994D79">
        <w:rPr>
          <w:rFonts w:ascii="Arial" w:hAnsi="Arial" w:cs="Arial"/>
          <w:bCs/>
        </w:rPr>
        <w:t>57</w:t>
      </w:r>
      <w:r>
        <w:rPr>
          <w:rFonts w:ascii="Arial" w:hAnsi="Arial" w:cs="Arial"/>
          <w:bCs/>
        </w:rPr>
        <w:t xml:space="preserve"> Millionen Kubikmeter (m</w:t>
      </w:r>
      <w:r w:rsidRPr="005A7330">
        <w:rPr>
          <w:rFonts w:ascii="Arial" w:hAnsi="Arial" w:cs="Arial"/>
          <w:bCs/>
          <w:vertAlign w:val="superscript"/>
        </w:rPr>
        <w:t>3</w:t>
      </w:r>
      <w:r>
        <w:rPr>
          <w:rFonts w:ascii="Arial" w:hAnsi="Arial" w:cs="Arial"/>
          <w:bCs/>
        </w:rPr>
        <w:t xml:space="preserve">) </w:t>
      </w:r>
      <w:r w:rsidR="0057148C">
        <w:rPr>
          <w:rFonts w:ascii="Arial" w:hAnsi="Arial" w:cs="Arial"/>
          <w:bCs/>
        </w:rPr>
        <w:t>fast verdoppelt</w:t>
      </w:r>
      <w:r>
        <w:rPr>
          <w:rFonts w:ascii="Arial" w:hAnsi="Arial" w:cs="Arial"/>
          <w:bCs/>
        </w:rPr>
        <w:t xml:space="preserve">. Die daraus produzierte Endenergie hat im gleichen Zeitraum von 8,2 auf </w:t>
      </w:r>
      <w:r w:rsidR="00994D79">
        <w:rPr>
          <w:rFonts w:ascii="Arial" w:hAnsi="Arial" w:cs="Arial"/>
          <w:bCs/>
        </w:rPr>
        <w:t>15,21</w:t>
      </w:r>
      <w:r>
        <w:rPr>
          <w:rFonts w:ascii="Arial" w:hAnsi="Arial" w:cs="Arial"/>
          <w:bCs/>
        </w:rPr>
        <w:t xml:space="preserve"> Millionen Megawattstunden (MWh) zugenommen. </w:t>
      </w:r>
      <w:bookmarkEnd w:id="0"/>
      <w:r>
        <w:rPr>
          <w:rFonts w:ascii="Arial" w:hAnsi="Arial" w:cs="Arial"/>
          <w:bCs/>
        </w:rPr>
        <w:t>Gleichzeitig hat sich die Technik der Holzheizungen massiv verbessert</w:t>
      </w:r>
      <w:r w:rsidR="00A46BD7">
        <w:rPr>
          <w:rFonts w:ascii="Arial" w:hAnsi="Arial" w:cs="Arial"/>
          <w:bCs/>
        </w:rPr>
        <w:t xml:space="preserve"> und dazu beigetragen, dass </w:t>
      </w:r>
      <w:r w:rsidR="00C31080">
        <w:rPr>
          <w:rFonts w:ascii="Arial" w:hAnsi="Arial" w:cs="Arial"/>
          <w:bCs/>
        </w:rPr>
        <w:t xml:space="preserve">die </w:t>
      </w:r>
      <w:r w:rsidR="00A46BD7">
        <w:rPr>
          <w:rFonts w:ascii="Arial" w:hAnsi="Arial" w:cs="Arial"/>
          <w:bCs/>
        </w:rPr>
        <w:t xml:space="preserve">jährliche </w:t>
      </w:r>
      <w:r w:rsidR="00C31080">
        <w:rPr>
          <w:rFonts w:ascii="Arial" w:hAnsi="Arial" w:cs="Arial"/>
          <w:bCs/>
        </w:rPr>
        <w:t>Menge des Feinstaubs</w:t>
      </w:r>
      <w:r w:rsidR="00A46BD7">
        <w:rPr>
          <w:rFonts w:ascii="Arial" w:hAnsi="Arial" w:cs="Arial"/>
          <w:bCs/>
        </w:rPr>
        <w:t xml:space="preserve"> </w:t>
      </w:r>
      <w:r w:rsidR="00C31080">
        <w:rPr>
          <w:rFonts w:ascii="Arial" w:hAnsi="Arial" w:cs="Arial"/>
          <w:bCs/>
        </w:rPr>
        <w:t xml:space="preserve">im beschriebenen Zeitraum von </w:t>
      </w:r>
      <w:r w:rsidR="0057148C">
        <w:rPr>
          <w:rFonts w:ascii="Arial" w:hAnsi="Arial" w:cs="Arial"/>
          <w:bCs/>
        </w:rPr>
        <w:t>etwa 6</w:t>
      </w:r>
      <w:r w:rsidR="00C31080">
        <w:rPr>
          <w:rFonts w:ascii="Arial" w:hAnsi="Arial" w:cs="Arial"/>
          <w:bCs/>
        </w:rPr>
        <w:t>'700 auf unter 2'000 Tonnen abgenommen</w:t>
      </w:r>
      <w:r w:rsidR="00A46BD7">
        <w:rPr>
          <w:rFonts w:ascii="Arial" w:hAnsi="Arial" w:cs="Arial"/>
          <w:bCs/>
        </w:rPr>
        <w:t xml:space="preserve"> hat</w:t>
      </w:r>
      <w:r w:rsidR="00C31080">
        <w:rPr>
          <w:rFonts w:ascii="Arial" w:hAnsi="Arial" w:cs="Arial"/>
          <w:bCs/>
        </w:rPr>
        <w:t xml:space="preserve">. </w:t>
      </w:r>
    </w:p>
    <w:p w14:paraId="258AA4BD" w14:textId="77777777" w:rsidR="00C31080" w:rsidRDefault="00C31080" w:rsidP="009E06BE">
      <w:pPr>
        <w:spacing w:after="0"/>
        <w:rPr>
          <w:rFonts w:ascii="Arial" w:hAnsi="Arial" w:cs="Arial"/>
          <w:bCs/>
        </w:rPr>
      </w:pPr>
    </w:p>
    <w:tbl>
      <w:tblPr>
        <w:tblW w:w="9092" w:type="dxa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118"/>
        <w:gridCol w:w="3118"/>
        <w:gridCol w:w="1975"/>
      </w:tblGrid>
      <w:tr w:rsidR="005A7330" w14:paraId="0F10E865" w14:textId="77777777" w:rsidTr="00C31080">
        <w:trPr>
          <w:trHeight w:val="328"/>
        </w:trPr>
        <w:tc>
          <w:tcPr>
            <w:tcW w:w="881" w:type="dxa"/>
          </w:tcPr>
          <w:p w14:paraId="5E37C82D" w14:textId="06AE6D86" w:rsidR="005A7330" w:rsidRDefault="00C31080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Jahr</w:t>
            </w:r>
          </w:p>
        </w:tc>
        <w:tc>
          <w:tcPr>
            <w:tcW w:w="3118" w:type="dxa"/>
          </w:tcPr>
          <w:p w14:paraId="1D076222" w14:textId="782AA934" w:rsidR="005A7330" w:rsidRDefault="005A7330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vertAlign w:val="superscript"/>
              </w:rPr>
            </w:pPr>
            <w:r>
              <w:rPr>
                <w:rFonts w:ascii="Calibri" w:hAnsi="Calibri" w:cs="Calibri"/>
                <w:color w:val="000000"/>
              </w:rPr>
              <w:t>Genutzte Holzmenge in Mio. m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3</w:t>
            </w:r>
          </w:p>
        </w:tc>
        <w:tc>
          <w:tcPr>
            <w:tcW w:w="3118" w:type="dxa"/>
          </w:tcPr>
          <w:p w14:paraId="3F4C6886" w14:textId="77777777" w:rsidR="005A7330" w:rsidRDefault="005A7330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Produzierte Energie Mio. MWh</w:t>
            </w:r>
          </w:p>
        </w:tc>
        <w:tc>
          <w:tcPr>
            <w:tcW w:w="1975" w:type="dxa"/>
          </w:tcPr>
          <w:p w14:paraId="7152C307" w14:textId="46DF8513" w:rsidR="005A7330" w:rsidRDefault="005A7330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Feinstaub To</w:t>
            </w:r>
            <w:r w:rsidR="00C31080">
              <w:rPr>
                <w:rFonts w:ascii="Calibri" w:hAnsi="Calibri" w:cs="Calibri"/>
                <w:color w:val="000000"/>
              </w:rPr>
              <w:t>nnen</w:t>
            </w:r>
          </w:p>
        </w:tc>
      </w:tr>
      <w:tr w:rsidR="005A7330" w14:paraId="1178FC45" w14:textId="77777777" w:rsidTr="00C31080">
        <w:trPr>
          <w:trHeight w:val="288"/>
        </w:trPr>
        <w:tc>
          <w:tcPr>
            <w:tcW w:w="881" w:type="dxa"/>
          </w:tcPr>
          <w:p w14:paraId="16B0201E" w14:textId="77777777" w:rsidR="005A7330" w:rsidRDefault="005A7330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3118" w:type="dxa"/>
          </w:tcPr>
          <w:p w14:paraId="7DCCE5ED" w14:textId="37CBF137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C3108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118" w:type="dxa"/>
          </w:tcPr>
          <w:p w14:paraId="389DBCCB" w14:textId="7F775006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8</w:t>
            </w:r>
            <w:r w:rsidR="00C3108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D232B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75" w:type="dxa"/>
          </w:tcPr>
          <w:p w14:paraId="16608FCA" w14:textId="13D014EA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6’700</w:t>
            </w:r>
          </w:p>
        </w:tc>
      </w:tr>
      <w:tr w:rsidR="005A7330" w14:paraId="7289FC0E" w14:textId="77777777" w:rsidTr="00C31080">
        <w:trPr>
          <w:trHeight w:val="288"/>
        </w:trPr>
        <w:tc>
          <w:tcPr>
            <w:tcW w:w="881" w:type="dxa"/>
          </w:tcPr>
          <w:p w14:paraId="6972AC45" w14:textId="77777777" w:rsidR="005A7330" w:rsidRDefault="005A7330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3118" w:type="dxa"/>
          </w:tcPr>
          <w:p w14:paraId="6F47BEA9" w14:textId="7DA737BD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C3108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3118" w:type="dxa"/>
          </w:tcPr>
          <w:p w14:paraId="2E6A534E" w14:textId="1F45F470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8</w:t>
            </w:r>
            <w:r w:rsidR="00C3108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="00D232B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75" w:type="dxa"/>
          </w:tcPr>
          <w:p w14:paraId="400A9F31" w14:textId="789EAADE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5’200</w:t>
            </w:r>
          </w:p>
        </w:tc>
      </w:tr>
      <w:tr w:rsidR="005A7330" w14:paraId="250C10DA" w14:textId="77777777" w:rsidTr="00C31080">
        <w:trPr>
          <w:trHeight w:val="288"/>
        </w:trPr>
        <w:tc>
          <w:tcPr>
            <w:tcW w:w="881" w:type="dxa"/>
          </w:tcPr>
          <w:p w14:paraId="32979C73" w14:textId="77777777" w:rsidR="005A7330" w:rsidRDefault="005A7330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3118" w:type="dxa"/>
          </w:tcPr>
          <w:p w14:paraId="7D59A8E3" w14:textId="42050132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C3108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="004B712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18" w:type="dxa"/>
          </w:tcPr>
          <w:p w14:paraId="73B106BF" w14:textId="5E53E022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C31080">
              <w:rPr>
                <w:rFonts w:ascii="Calibri" w:hAnsi="Calibri" w:cs="Calibri"/>
                <w:color w:val="000000"/>
              </w:rPr>
              <w:t>,</w:t>
            </w:r>
            <w:r w:rsidR="00D232B2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975" w:type="dxa"/>
          </w:tcPr>
          <w:p w14:paraId="695CB802" w14:textId="5887F632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3’800</w:t>
            </w:r>
          </w:p>
        </w:tc>
      </w:tr>
      <w:tr w:rsidR="005A7330" w14:paraId="516EE26A" w14:textId="77777777" w:rsidTr="00C31080">
        <w:trPr>
          <w:trHeight w:val="288"/>
        </w:trPr>
        <w:tc>
          <w:tcPr>
            <w:tcW w:w="881" w:type="dxa"/>
          </w:tcPr>
          <w:p w14:paraId="5AEF32CA" w14:textId="77777777" w:rsidR="005A7330" w:rsidRDefault="005A7330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3118" w:type="dxa"/>
          </w:tcPr>
          <w:p w14:paraId="257C670C" w14:textId="7C4747B7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C31080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118" w:type="dxa"/>
          </w:tcPr>
          <w:p w14:paraId="3089EDE9" w14:textId="730C76B4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="00C31080">
              <w:rPr>
                <w:rFonts w:ascii="Calibri" w:hAnsi="Calibri" w:cs="Calibri"/>
                <w:color w:val="000000"/>
              </w:rPr>
              <w:t>,</w:t>
            </w:r>
            <w:r w:rsidR="00D232B2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975" w:type="dxa"/>
          </w:tcPr>
          <w:p w14:paraId="3678C01D" w14:textId="026331E9" w:rsidR="005A7330" w:rsidRDefault="005A7330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2’000</w:t>
            </w:r>
          </w:p>
        </w:tc>
      </w:tr>
      <w:tr w:rsidR="004B7127" w14:paraId="72DF89D0" w14:textId="77777777" w:rsidTr="00C31080">
        <w:trPr>
          <w:trHeight w:val="288"/>
        </w:trPr>
        <w:tc>
          <w:tcPr>
            <w:tcW w:w="881" w:type="dxa"/>
          </w:tcPr>
          <w:p w14:paraId="2A69FCE5" w14:textId="61D2693F" w:rsidR="004B7127" w:rsidRDefault="004B7127" w:rsidP="00C31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3118" w:type="dxa"/>
          </w:tcPr>
          <w:p w14:paraId="3F179D8E" w14:textId="58B3A96B" w:rsidR="004B7127" w:rsidRDefault="00D232B2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5,57</w:t>
            </w:r>
          </w:p>
        </w:tc>
        <w:tc>
          <w:tcPr>
            <w:tcW w:w="3118" w:type="dxa"/>
          </w:tcPr>
          <w:p w14:paraId="08042B8D" w14:textId="3CDF67D2" w:rsidR="004B7127" w:rsidRDefault="00D232B2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15,21</w:t>
            </w:r>
          </w:p>
        </w:tc>
        <w:tc>
          <w:tcPr>
            <w:tcW w:w="1975" w:type="dxa"/>
          </w:tcPr>
          <w:p w14:paraId="23078755" w14:textId="0649C1E5" w:rsidR="004B7127" w:rsidRDefault="00D232B2" w:rsidP="005A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Keine Daten</w:t>
            </w:r>
          </w:p>
        </w:tc>
      </w:tr>
    </w:tbl>
    <w:p w14:paraId="0CA4B981" w14:textId="77777777" w:rsidR="00B240F5" w:rsidRDefault="00B240F5" w:rsidP="009E06BE">
      <w:pPr>
        <w:spacing w:after="0"/>
        <w:rPr>
          <w:rFonts w:ascii="Arial" w:hAnsi="Arial" w:cs="Arial"/>
          <w:bCs/>
        </w:rPr>
      </w:pPr>
    </w:p>
    <w:p w14:paraId="1A2B9C55" w14:textId="35C71552" w:rsidR="00C31080" w:rsidRDefault="00C31080" w:rsidP="009E06B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 nachfolgende Graphik verdeutlicht diese erfreuliche Entwicklung.</w:t>
      </w:r>
    </w:p>
    <w:p w14:paraId="007935AC" w14:textId="77777777" w:rsidR="00C31080" w:rsidRDefault="00C31080" w:rsidP="00C31080">
      <w:pPr>
        <w:spacing w:after="0"/>
        <w:rPr>
          <w:rFonts w:ascii="Arial" w:hAnsi="Arial" w:cs="Arial"/>
          <w:bCs/>
        </w:rPr>
      </w:pPr>
    </w:p>
    <w:p w14:paraId="450CAF0C" w14:textId="77777777" w:rsidR="00C31080" w:rsidRDefault="00C31080" w:rsidP="00C3108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lastRenderedPageBreak/>
        <w:drawing>
          <wp:inline distT="0" distB="0" distL="0" distR="0" wp14:anchorId="37910E61" wp14:editId="0D55F297">
            <wp:extent cx="5486400" cy="3200400"/>
            <wp:effectExtent l="0" t="0" r="0" b="0"/>
            <wp:docPr id="409628591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2A4359B" w14:textId="1B66ABDB" w:rsidR="00C31080" w:rsidRDefault="00C31080" w:rsidP="00C3108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Darstellung der prozentualen Entwicklung des Energieholzverbrauchs, der Endenergieproduktion sowie der Feinstaub</w:t>
      </w:r>
      <w:r w:rsidR="00101A59">
        <w:rPr>
          <w:rFonts w:ascii="Arial" w:hAnsi="Arial" w:cs="Arial"/>
          <w:bCs/>
        </w:rPr>
        <w:t>emissionen</w:t>
      </w:r>
      <w:r>
        <w:rPr>
          <w:rFonts w:ascii="Arial" w:hAnsi="Arial" w:cs="Arial"/>
          <w:bCs/>
        </w:rPr>
        <w:t xml:space="preserve"> aus Holzfeuerungen in der Schweiz zwischen 1990 und 2020. (1990 = 100 Prozent)</w:t>
      </w:r>
    </w:p>
    <w:p w14:paraId="40A93CDF" w14:textId="77777777" w:rsidR="00C31080" w:rsidRPr="009B0C66" w:rsidRDefault="00C31080" w:rsidP="00C31080">
      <w:pPr>
        <w:spacing w:after="0"/>
        <w:rPr>
          <w:rFonts w:ascii="Arial" w:hAnsi="Arial" w:cs="Arial"/>
          <w:bCs/>
          <w:sz w:val="16"/>
          <w:szCs w:val="16"/>
        </w:rPr>
      </w:pPr>
      <w:r w:rsidRPr="009B0C66">
        <w:rPr>
          <w:rFonts w:ascii="Arial" w:hAnsi="Arial" w:cs="Arial"/>
          <w:bCs/>
          <w:sz w:val="16"/>
          <w:szCs w:val="16"/>
        </w:rPr>
        <w:t xml:space="preserve">Quellen: Schweizerische Holzenergiestatistik 2022, Bundesamt für Energie BFE 2023; </w:t>
      </w:r>
      <w:proofErr w:type="spellStart"/>
      <w:r w:rsidRPr="009B0C66">
        <w:rPr>
          <w:rFonts w:ascii="Arial" w:hAnsi="Arial" w:cs="Arial"/>
          <w:bCs/>
          <w:sz w:val="16"/>
          <w:szCs w:val="16"/>
        </w:rPr>
        <w:t>Verenum</w:t>
      </w:r>
      <w:proofErr w:type="spellEnd"/>
      <w:r w:rsidRPr="009B0C66">
        <w:rPr>
          <w:rFonts w:ascii="Arial" w:hAnsi="Arial" w:cs="Arial"/>
          <w:bCs/>
          <w:sz w:val="16"/>
          <w:szCs w:val="16"/>
        </w:rPr>
        <w:t xml:space="preserve"> 2021 in: Hammer, S.; Soini, M.; Iten, R.; Nussbaumer, T.; </w:t>
      </w:r>
      <w:proofErr w:type="spellStart"/>
      <w:r w:rsidRPr="009B0C66">
        <w:rPr>
          <w:rFonts w:ascii="Arial" w:hAnsi="Arial" w:cs="Arial"/>
          <w:bCs/>
          <w:sz w:val="16"/>
          <w:szCs w:val="16"/>
        </w:rPr>
        <w:t>Zotter</w:t>
      </w:r>
      <w:proofErr w:type="spellEnd"/>
      <w:r w:rsidRPr="009B0C66">
        <w:rPr>
          <w:rFonts w:ascii="Arial" w:hAnsi="Arial" w:cs="Arial"/>
          <w:bCs/>
          <w:sz w:val="16"/>
          <w:szCs w:val="16"/>
        </w:rPr>
        <w:t xml:space="preserve">, P.: Analyse von Hemmnissen und Massnahmen zur Ausschöpfung des Holzenergiepotenzials, </w:t>
      </w:r>
      <w:proofErr w:type="spellStart"/>
      <w:r w:rsidRPr="009B0C66">
        <w:rPr>
          <w:rFonts w:ascii="Arial" w:hAnsi="Arial" w:cs="Arial"/>
          <w:bCs/>
          <w:sz w:val="16"/>
          <w:szCs w:val="16"/>
        </w:rPr>
        <w:t>Infras</w:t>
      </w:r>
      <w:proofErr w:type="spellEnd"/>
      <w:r w:rsidRPr="009B0C66">
        <w:rPr>
          <w:rFonts w:ascii="Arial" w:hAnsi="Arial" w:cs="Arial"/>
          <w:bCs/>
          <w:sz w:val="16"/>
          <w:szCs w:val="16"/>
        </w:rPr>
        <w:t xml:space="preserve"> Zürich und </w:t>
      </w:r>
      <w:proofErr w:type="spellStart"/>
      <w:r w:rsidRPr="009B0C66">
        <w:rPr>
          <w:rFonts w:ascii="Arial" w:hAnsi="Arial" w:cs="Arial"/>
          <w:bCs/>
          <w:sz w:val="16"/>
          <w:szCs w:val="16"/>
        </w:rPr>
        <w:t>Verenum</w:t>
      </w:r>
      <w:proofErr w:type="spellEnd"/>
      <w:r w:rsidRPr="009B0C66">
        <w:rPr>
          <w:rFonts w:ascii="Arial" w:hAnsi="Arial" w:cs="Arial"/>
          <w:bCs/>
          <w:sz w:val="16"/>
          <w:szCs w:val="16"/>
        </w:rPr>
        <w:t xml:space="preserve"> Zürich im Auftrag Bundesamt für Energie, Bern 2021, Darstellung vereinfacht.</w:t>
      </w:r>
    </w:p>
    <w:p w14:paraId="3482F593" w14:textId="77777777" w:rsidR="00C31080" w:rsidRDefault="00C31080" w:rsidP="009E06BE">
      <w:pPr>
        <w:spacing w:after="0"/>
        <w:rPr>
          <w:rFonts w:ascii="Arial" w:hAnsi="Arial" w:cs="Arial"/>
          <w:bCs/>
        </w:rPr>
      </w:pPr>
    </w:p>
    <w:p w14:paraId="48979B9D" w14:textId="4F24FD04" w:rsidR="00B240F5" w:rsidRPr="00C31080" w:rsidRDefault="00C31080" w:rsidP="009E06BE">
      <w:pPr>
        <w:spacing w:after="0"/>
        <w:rPr>
          <w:rFonts w:ascii="Arial" w:hAnsi="Arial" w:cs="Arial"/>
          <w:b/>
        </w:rPr>
      </w:pPr>
      <w:r w:rsidRPr="00C31080">
        <w:rPr>
          <w:rFonts w:ascii="Arial" w:hAnsi="Arial" w:cs="Arial"/>
          <w:b/>
        </w:rPr>
        <w:t>F</w:t>
      </w:r>
      <w:r w:rsidR="004B7127">
        <w:rPr>
          <w:rFonts w:ascii="Arial" w:hAnsi="Arial" w:cs="Arial"/>
          <w:b/>
        </w:rPr>
        <w:t>akt 3</w:t>
      </w:r>
      <w:r w:rsidRPr="00C31080">
        <w:rPr>
          <w:rFonts w:ascii="Arial" w:hAnsi="Arial" w:cs="Arial"/>
          <w:b/>
        </w:rPr>
        <w:t xml:space="preserve">: </w:t>
      </w:r>
      <w:r w:rsidR="00B240F5" w:rsidRPr="00C31080">
        <w:rPr>
          <w:rFonts w:ascii="Arial" w:hAnsi="Arial" w:cs="Arial"/>
          <w:b/>
        </w:rPr>
        <w:t>Förderung vermindert Feinstaub</w:t>
      </w:r>
    </w:p>
    <w:p w14:paraId="62C68176" w14:textId="77777777" w:rsidR="00B240F5" w:rsidRDefault="00B240F5" w:rsidP="009E06BE">
      <w:pPr>
        <w:spacing w:after="0"/>
        <w:rPr>
          <w:rFonts w:ascii="Arial" w:hAnsi="Arial" w:cs="Arial"/>
          <w:bCs/>
        </w:rPr>
      </w:pPr>
    </w:p>
    <w:p w14:paraId="7430C377" w14:textId="452038F0" w:rsidR="00C31080" w:rsidRDefault="00C31080" w:rsidP="009E06B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Nutzung der Holzenergie wurde in den vergangenen dreissig Jahren von Bund und Kantonen gefördert. Das hat massgeblich zur </w:t>
      </w:r>
      <w:r w:rsidR="00FE294A">
        <w:rPr>
          <w:rFonts w:ascii="Arial" w:hAnsi="Arial" w:cs="Arial"/>
          <w:bCs/>
        </w:rPr>
        <w:t>positiven</w:t>
      </w:r>
      <w:r>
        <w:rPr>
          <w:rFonts w:ascii="Arial" w:hAnsi="Arial" w:cs="Arial"/>
          <w:bCs/>
        </w:rPr>
        <w:t xml:space="preserve"> Entwicklung</w:t>
      </w:r>
      <w:r w:rsidR="00C6263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beigetragen</w:t>
      </w:r>
      <w:r w:rsidR="004B7127">
        <w:rPr>
          <w:rFonts w:ascii="Arial" w:hAnsi="Arial" w:cs="Arial"/>
          <w:bCs/>
        </w:rPr>
        <w:t xml:space="preserve">. Die Holzenergie war schon immer klimaneutral, erneuerbar und einheimisch. </w:t>
      </w:r>
      <w:r w:rsidR="00C6263D">
        <w:rPr>
          <w:rFonts w:ascii="Arial" w:hAnsi="Arial" w:cs="Arial"/>
          <w:bCs/>
        </w:rPr>
        <w:t xml:space="preserve">Das sind unschlagbare Vorteile. Heute ist sie </w:t>
      </w:r>
      <w:r w:rsidR="00FE294A">
        <w:rPr>
          <w:rFonts w:ascii="Arial" w:hAnsi="Arial" w:cs="Arial"/>
          <w:bCs/>
        </w:rPr>
        <w:t>– richtig eingesetzt –</w:t>
      </w:r>
      <w:r w:rsidR="00C6263D">
        <w:rPr>
          <w:rFonts w:ascii="Arial" w:hAnsi="Arial" w:cs="Arial"/>
          <w:bCs/>
        </w:rPr>
        <w:t xml:space="preserve"> auch eine saubere Energie</w:t>
      </w:r>
      <w:r w:rsidR="00101A59">
        <w:rPr>
          <w:rFonts w:ascii="Arial" w:hAnsi="Arial" w:cs="Arial"/>
          <w:bCs/>
        </w:rPr>
        <w:t>, die einen wichtigen Beitrag an die Energiewende leistet</w:t>
      </w:r>
      <w:r w:rsidR="00C6263D">
        <w:rPr>
          <w:rFonts w:ascii="Arial" w:hAnsi="Arial" w:cs="Arial"/>
          <w:bCs/>
        </w:rPr>
        <w:t>.</w:t>
      </w:r>
      <w:r w:rsidR="00A46BD7">
        <w:rPr>
          <w:rFonts w:ascii="Arial" w:hAnsi="Arial" w:cs="Arial"/>
          <w:bCs/>
        </w:rPr>
        <w:t xml:space="preserve"> </w:t>
      </w:r>
    </w:p>
    <w:p w14:paraId="5C4A770E" w14:textId="3C2CC2A6" w:rsidR="00B240F5" w:rsidRDefault="00B240F5" w:rsidP="009E06BE">
      <w:pPr>
        <w:spacing w:after="0"/>
        <w:rPr>
          <w:rFonts w:ascii="Arial" w:hAnsi="Arial" w:cs="Arial"/>
          <w:bCs/>
        </w:rPr>
      </w:pPr>
    </w:p>
    <w:p w14:paraId="1D5165F9" w14:textId="77777777" w:rsidR="00444624" w:rsidRDefault="00444624" w:rsidP="009E06BE">
      <w:pPr>
        <w:spacing w:after="0"/>
        <w:rPr>
          <w:rFonts w:ascii="Arial" w:hAnsi="Arial" w:cs="Arial"/>
          <w:bCs/>
        </w:rPr>
      </w:pPr>
    </w:p>
    <w:p w14:paraId="647587DA" w14:textId="77777777" w:rsidR="00CE2A02" w:rsidRPr="00E5721E" w:rsidRDefault="00CE2A02" w:rsidP="009E06BE">
      <w:pPr>
        <w:spacing w:after="0"/>
        <w:rPr>
          <w:rFonts w:ascii="Arial" w:hAnsi="Arial" w:cs="Arial"/>
          <w:bCs/>
        </w:rPr>
      </w:pPr>
    </w:p>
    <w:p w14:paraId="6F9F65D7" w14:textId="77777777" w:rsidR="006F21B2" w:rsidRPr="00E5721E" w:rsidRDefault="006F21B2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  <w:r w:rsidRPr="00E5721E">
        <w:rPr>
          <w:rFonts w:ascii="Arial" w:hAnsi="Arial" w:cs="Arial"/>
          <w:b/>
        </w:rPr>
        <w:t>Über Holzenergie Schweiz</w:t>
      </w:r>
    </w:p>
    <w:p w14:paraId="5112DE25" w14:textId="77777777" w:rsidR="006F21B2" w:rsidRPr="00E5721E" w:rsidRDefault="006F21B2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5721E">
        <w:rPr>
          <w:rFonts w:ascii="Arial" w:hAnsi="Arial" w:cs="Arial"/>
        </w:rPr>
        <w:t>Der Branchenverband Holzenergie Schweiz betreibt seit 1979 einen professionellen Informations- und Beratungsdienst und setzt sich bei Behörden und Entscheidungsträgern für eine vermehrte Nutzung der „Wärme aus dem Wald“ ein. www.holzenergie.ch</w:t>
      </w:r>
    </w:p>
    <w:p w14:paraId="24CAA19F" w14:textId="77777777" w:rsid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</w:p>
    <w:p w14:paraId="7BCDB79B" w14:textId="77777777" w:rsidR="0026527F" w:rsidRPr="00E5721E" w:rsidRDefault="0026527F" w:rsidP="00833DB0">
      <w:pPr>
        <w:spacing w:after="0" w:line="240" w:lineRule="auto"/>
        <w:rPr>
          <w:rFonts w:ascii="Arial" w:hAnsi="Arial" w:cs="Arial"/>
          <w:i/>
          <w:sz w:val="20"/>
        </w:rPr>
      </w:pPr>
    </w:p>
    <w:p w14:paraId="14004686" w14:textId="1B1F8F56" w:rsid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Autor:</w:t>
      </w:r>
    </w:p>
    <w:p w14:paraId="1F8E2FF2" w14:textId="77777777" w:rsidR="0026527F" w:rsidRPr="00E5721E" w:rsidRDefault="0026527F" w:rsidP="00833DB0">
      <w:pPr>
        <w:spacing w:after="0" w:line="240" w:lineRule="auto"/>
        <w:rPr>
          <w:rFonts w:ascii="Arial" w:hAnsi="Arial" w:cs="Arial"/>
          <w:i/>
          <w:sz w:val="20"/>
        </w:rPr>
      </w:pPr>
    </w:p>
    <w:p w14:paraId="699E473D" w14:textId="7A3E7C54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Christoph Rutschmann</w:t>
      </w:r>
    </w:p>
    <w:p w14:paraId="781FD0B7" w14:textId="77777777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Im Auftrag von Holzenergie Schweiz</w:t>
      </w:r>
    </w:p>
    <w:p w14:paraId="7796E959" w14:textId="77777777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Neugasse 10</w:t>
      </w:r>
    </w:p>
    <w:p w14:paraId="7382F8AF" w14:textId="77777777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8005 Zürich</w:t>
      </w:r>
    </w:p>
    <w:p w14:paraId="028B4D6F" w14:textId="5AF96CC8" w:rsidR="00833DB0" w:rsidRPr="00E5721E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Tel</w:t>
      </w:r>
      <w:r w:rsidR="00833DB0" w:rsidRPr="00E5721E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75E6EFF0" w14:textId="77777777" w:rsidR="0026527F" w:rsidRPr="00E5721E" w:rsidRDefault="0026527F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2310A7B7" w14:textId="5FAFBFA7" w:rsidR="006F21B2" w:rsidRPr="00E5721E" w:rsidRDefault="006F21B2" w:rsidP="00442798">
      <w:pPr>
        <w:spacing w:after="0"/>
        <w:rPr>
          <w:rFonts w:ascii="Arial" w:hAnsi="Arial" w:cs="Arial"/>
          <w:b/>
          <w:i/>
          <w:sz w:val="20"/>
        </w:rPr>
      </w:pPr>
      <w:r w:rsidRPr="00E5721E">
        <w:rPr>
          <w:rFonts w:ascii="Arial" w:hAnsi="Arial" w:cs="Arial"/>
          <w:b/>
          <w:i/>
          <w:sz w:val="20"/>
        </w:rPr>
        <w:lastRenderedPageBreak/>
        <w:t>Bild</w:t>
      </w:r>
      <w:r w:rsidR="006C081B" w:rsidRPr="00E5721E">
        <w:rPr>
          <w:rFonts w:ascii="Arial" w:hAnsi="Arial" w:cs="Arial"/>
          <w:b/>
          <w:i/>
          <w:sz w:val="20"/>
        </w:rPr>
        <w:t>er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846"/>
        <w:gridCol w:w="5760"/>
      </w:tblGrid>
      <w:tr w:rsidR="0026527F" w:rsidRPr="00E5721E" w14:paraId="0527DCAA" w14:textId="77777777" w:rsidTr="00FE294A">
        <w:tc>
          <w:tcPr>
            <w:tcW w:w="3846" w:type="dxa"/>
          </w:tcPr>
          <w:p w14:paraId="0D9121C1" w14:textId="08089A4F" w:rsidR="007869F1" w:rsidRPr="00E5721E" w:rsidRDefault="00FE294A" w:rsidP="0026527F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D146DDD" wp14:editId="4A771FC0">
                  <wp:extent cx="1691192" cy="1283494"/>
                  <wp:effectExtent l="0" t="0" r="4445" b="0"/>
                  <wp:docPr id="58401161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01161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755" cy="128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13C8964C" w14:textId="77777777" w:rsidR="000D4E93" w:rsidRPr="00E5721E" w:rsidRDefault="000D4E93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  <w:r w:rsidRPr="00E5721E">
              <w:rPr>
                <w:rFonts w:ascii="Arial" w:hAnsi="Arial" w:cs="Arial"/>
                <w:b/>
                <w:i/>
                <w:sz w:val="20"/>
              </w:rPr>
              <w:t>Bildlegende:</w:t>
            </w:r>
            <w:r w:rsidRPr="00E5721E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02D8F185" w14:textId="77777777" w:rsidR="000D4E93" w:rsidRDefault="000D4E93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</w:p>
          <w:p w14:paraId="4E7FCFF6" w14:textId="3BA03A9C" w:rsidR="007D7514" w:rsidRDefault="00FE294A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Energieholz: Nicht nur klimaneutral, einheimisch und erneuerbar, sondern auch sauber.</w:t>
            </w:r>
          </w:p>
          <w:p w14:paraId="4B24AC85" w14:textId="77777777" w:rsidR="007D7514" w:rsidRPr="00E5721E" w:rsidRDefault="007D7514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</w:p>
          <w:p w14:paraId="57B63BFA" w14:textId="25EB7771" w:rsidR="000D4E93" w:rsidRPr="00E5721E" w:rsidRDefault="000D4E93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  <w:r w:rsidRPr="00E5721E">
              <w:rPr>
                <w:rFonts w:ascii="Arial" w:hAnsi="Arial" w:cs="Arial"/>
                <w:i/>
                <w:sz w:val="20"/>
              </w:rPr>
              <w:t>Bildquelle: Holzenergie Schweiz</w:t>
            </w:r>
            <w:r w:rsidR="00353E98">
              <w:rPr>
                <w:rFonts w:ascii="Arial" w:hAnsi="Arial" w:cs="Arial"/>
                <w:i/>
                <w:sz w:val="20"/>
              </w:rPr>
              <w:t>, Christoph Rutschmann</w:t>
            </w:r>
          </w:p>
        </w:tc>
      </w:tr>
      <w:tr w:rsidR="004717CD" w:rsidRPr="00E5721E" w14:paraId="54BF8732" w14:textId="77777777" w:rsidTr="00FE294A">
        <w:tc>
          <w:tcPr>
            <w:tcW w:w="3846" w:type="dxa"/>
          </w:tcPr>
          <w:p w14:paraId="5F8115C8" w14:textId="60034C69" w:rsidR="004717CD" w:rsidRPr="00E5721E" w:rsidRDefault="00FE294A" w:rsidP="004A013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99744F1" wp14:editId="2047864D">
                  <wp:extent cx="1690284" cy="1283494"/>
                  <wp:effectExtent l="0" t="0" r="5715" b="0"/>
                  <wp:docPr id="14114641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46411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003" cy="12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762D8BD8" w14:textId="77777777" w:rsidR="004717CD" w:rsidRPr="00E5721E" w:rsidRDefault="004717CD" w:rsidP="004A013D">
            <w:pPr>
              <w:spacing w:after="40"/>
              <w:rPr>
                <w:rFonts w:ascii="Arial" w:hAnsi="Arial" w:cs="Arial"/>
                <w:i/>
                <w:sz w:val="20"/>
              </w:rPr>
            </w:pPr>
            <w:r w:rsidRPr="00E5721E">
              <w:rPr>
                <w:rFonts w:ascii="Arial" w:hAnsi="Arial" w:cs="Arial"/>
                <w:b/>
                <w:i/>
                <w:sz w:val="20"/>
              </w:rPr>
              <w:t>Bildlegende:</w:t>
            </w:r>
            <w:r w:rsidRPr="00E5721E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4C5AD6C7" w14:textId="77777777" w:rsidR="004717CD" w:rsidRPr="00E5721E" w:rsidRDefault="004717CD" w:rsidP="004A013D">
            <w:pPr>
              <w:spacing w:after="40"/>
              <w:rPr>
                <w:rFonts w:ascii="Arial" w:hAnsi="Arial" w:cs="Arial"/>
                <w:i/>
                <w:sz w:val="20"/>
              </w:rPr>
            </w:pPr>
          </w:p>
          <w:p w14:paraId="53EE6D21" w14:textId="03F05389" w:rsidR="004717CD" w:rsidRPr="00E5721E" w:rsidRDefault="00FE294A" w:rsidP="004A013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Kaum Feinstaub: Dampfschwade einer Holzheizzentrale</w:t>
            </w:r>
          </w:p>
          <w:p w14:paraId="56EE5C0A" w14:textId="77777777" w:rsidR="00FE294A" w:rsidRDefault="00FE294A" w:rsidP="004A013D">
            <w:pPr>
              <w:spacing w:after="40"/>
              <w:rPr>
                <w:rFonts w:ascii="Arial" w:hAnsi="Arial" w:cs="Arial"/>
                <w:i/>
                <w:sz w:val="20"/>
              </w:rPr>
            </w:pPr>
          </w:p>
          <w:p w14:paraId="7CDD66D9" w14:textId="35C1628C" w:rsidR="004717CD" w:rsidRPr="00E5721E" w:rsidRDefault="004717CD" w:rsidP="004A013D">
            <w:pPr>
              <w:spacing w:after="40"/>
              <w:rPr>
                <w:rFonts w:ascii="Arial" w:hAnsi="Arial" w:cs="Arial"/>
                <w:i/>
                <w:sz w:val="20"/>
              </w:rPr>
            </w:pPr>
            <w:r w:rsidRPr="00E5721E">
              <w:rPr>
                <w:rFonts w:ascii="Arial" w:hAnsi="Arial" w:cs="Arial"/>
                <w:i/>
                <w:sz w:val="20"/>
              </w:rPr>
              <w:t>Bildquelle: Holzenergie Schweiz</w:t>
            </w:r>
            <w:r>
              <w:rPr>
                <w:rFonts w:ascii="Arial" w:hAnsi="Arial" w:cs="Arial"/>
                <w:i/>
                <w:sz w:val="20"/>
              </w:rPr>
              <w:t xml:space="preserve">, Christoph Rutschmann </w:t>
            </w:r>
          </w:p>
        </w:tc>
      </w:tr>
    </w:tbl>
    <w:p w14:paraId="1FFA91AB" w14:textId="01275681" w:rsidR="00C119D5" w:rsidRDefault="00C119D5" w:rsidP="00D34A9C">
      <w:pPr>
        <w:spacing w:after="0" w:line="240" w:lineRule="auto"/>
        <w:rPr>
          <w:rFonts w:ascii="Arial" w:hAnsi="Arial" w:cs="Arial"/>
          <w:sz w:val="20"/>
        </w:rPr>
      </w:pPr>
    </w:p>
    <w:p w14:paraId="024C00CE" w14:textId="2DB3E630" w:rsidR="00225C0E" w:rsidRPr="00E5721E" w:rsidRDefault="00225C0E" w:rsidP="00D34A9C">
      <w:pPr>
        <w:spacing w:after="0" w:line="240" w:lineRule="auto"/>
        <w:rPr>
          <w:rFonts w:ascii="Arial" w:hAnsi="Arial" w:cs="Arial"/>
          <w:sz w:val="20"/>
        </w:rPr>
      </w:pPr>
    </w:p>
    <w:sectPr w:rsidR="00225C0E" w:rsidRPr="00E5721E" w:rsidSect="00FF679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0894" w14:textId="77777777" w:rsidR="00FF6799" w:rsidRDefault="00FF6799" w:rsidP="006F21B2">
      <w:pPr>
        <w:spacing w:after="0" w:line="240" w:lineRule="auto"/>
      </w:pPr>
      <w:r>
        <w:separator/>
      </w:r>
    </w:p>
  </w:endnote>
  <w:endnote w:type="continuationSeparator" w:id="0">
    <w:p w14:paraId="474C086C" w14:textId="77777777" w:rsidR="00FF6799" w:rsidRDefault="00FF6799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5D6790" w:rsidRDefault="005D6790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5D6790" w:rsidRDefault="005D6790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7ED4" w14:textId="77777777" w:rsidR="00FF6799" w:rsidRDefault="00FF6799" w:rsidP="006F21B2">
      <w:pPr>
        <w:spacing w:after="0" w:line="240" w:lineRule="auto"/>
      </w:pPr>
      <w:r>
        <w:separator/>
      </w:r>
    </w:p>
  </w:footnote>
  <w:footnote w:type="continuationSeparator" w:id="0">
    <w:p w14:paraId="468AB7F3" w14:textId="77777777" w:rsidR="00FF6799" w:rsidRDefault="00FF6799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77777777" w:rsidR="005D6790" w:rsidRDefault="00EB3AF2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203097A" wp14:editId="698F4BCF">
          <wp:simplePos x="0" y="0"/>
          <wp:positionH relativeFrom="column">
            <wp:posOffset>-384810</wp:posOffset>
          </wp:positionH>
          <wp:positionV relativeFrom="paragraph">
            <wp:posOffset>-116840</wp:posOffset>
          </wp:positionV>
          <wp:extent cx="1296035" cy="360680"/>
          <wp:effectExtent l="0" t="0" r="0" b="1270"/>
          <wp:wrapNone/>
          <wp:docPr id="12" name="Bild 1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89251" w14:textId="77777777" w:rsidR="005D6790" w:rsidRDefault="005D6790">
    <w:pPr>
      <w:pStyle w:val="Kopfzeile"/>
      <w:rPr>
        <w:spacing w:val="1"/>
        <w:sz w:val="17"/>
      </w:rPr>
    </w:pPr>
  </w:p>
  <w:p w14:paraId="54521666" w14:textId="77777777" w:rsidR="005D6790" w:rsidRDefault="005D6790">
    <w:pPr>
      <w:pStyle w:val="Kopfzeile"/>
      <w:rPr>
        <w:spacing w:val="1"/>
        <w:sz w:val="17"/>
      </w:rPr>
    </w:pPr>
  </w:p>
  <w:p w14:paraId="6C323340" w14:textId="77777777" w:rsidR="005D6790" w:rsidRDefault="005D6790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D3F2" w14:textId="01138AFF" w:rsidR="005D6790" w:rsidRPr="003308D6" w:rsidRDefault="00325C36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64C99FB9" wp14:editId="0EF7A3C5">
          <wp:simplePos x="0" y="0"/>
          <wp:positionH relativeFrom="column">
            <wp:posOffset>-156845</wp:posOffset>
          </wp:positionH>
          <wp:positionV relativeFrom="paragraph">
            <wp:posOffset>12065</wp:posOffset>
          </wp:positionV>
          <wp:extent cx="2320938" cy="648000"/>
          <wp:effectExtent l="0" t="0" r="3175" b="0"/>
          <wp:wrapNone/>
          <wp:docPr id="5" name="Bild 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964"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2390C9E0" wp14:editId="2C8DA823">
          <wp:simplePos x="0" y="0"/>
          <wp:positionH relativeFrom="column">
            <wp:posOffset>2600325</wp:posOffset>
          </wp:positionH>
          <wp:positionV relativeFrom="paragraph">
            <wp:posOffset>-85725</wp:posOffset>
          </wp:positionV>
          <wp:extent cx="1796800" cy="1234800"/>
          <wp:effectExtent l="0" t="0" r="0" b="3810"/>
          <wp:wrapNone/>
          <wp:docPr id="4" name="Bild 1" descr="specht_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ht_logo_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800" cy="12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76F85EB3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 w:rsidR="00EB3AF2" w:rsidRPr="003308D6">
      <w:rPr>
        <w:rFonts w:ascii="Arial" w:hAnsi="Arial" w:cs="Arial"/>
        <w:b/>
        <w:bCs/>
        <w:spacing w:val="1"/>
        <w:sz w:val="17"/>
      </w:rPr>
      <w:t>Holzenergie Schweiz</w:t>
    </w:r>
  </w:p>
  <w:p w14:paraId="25BCED4B" w14:textId="6641D950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77777777" w:rsidR="005D679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Zürich</w:t>
    </w:r>
  </w:p>
  <w:p w14:paraId="701A4C41" w14:textId="5D186403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info@holzenergie.ch</w:t>
    </w:r>
  </w:p>
  <w:p w14:paraId="7521B9F6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www.holzenergie.ch</w:t>
    </w:r>
  </w:p>
  <w:p w14:paraId="29E81BF0" w14:textId="77777777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C610AE">
      <w:rPr>
        <w:rFonts w:ascii="Arial" w:hAnsi="Arial" w:cs="Arial"/>
        <w:spacing w:val="1"/>
        <w:sz w:val="17"/>
      </w:rPr>
      <w:tab/>
    </w:r>
    <w:r w:rsidRPr="003308D6">
      <w:rPr>
        <w:rFonts w:ascii="Arial" w:hAnsi="Arial" w:cs="Arial"/>
        <w:spacing w:val="1"/>
        <w:sz w:val="17"/>
        <w:lang w:val="fr-FR"/>
      </w:rPr>
      <w:t>www.energieschweiz.ch</w:t>
    </w:r>
  </w:p>
  <w:p w14:paraId="48848C8C" w14:textId="77777777" w:rsidR="005D6790" w:rsidRPr="00055B72" w:rsidRDefault="005D6790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4"/>
  </w:num>
  <w:num w:numId="4" w16cid:durableId="852109580">
    <w:abstractNumId w:val="5"/>
  </w:num>
  <w:num w:numId="5" w16cid:durableId="1349789751">
    <w:abstractNumId w:val="1"/>
  </w:num>
  <w:num w:numId="6" w16cid:durableId="203641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E20"/>
    <w:rsid w:val="00007569"/>
    <w:rsid w:val="00007F46"/>
    <w:rsid w:val="00010B24"/>
    <w:rsid w:val="00013E4F"/>
    <w:rsid w:val="00016707"/>
    <w:rsid w:val="00021991"/>
    <w:rsid w:val="0002408E"/>
    <w:rsid w:val="0002616D"/>
    <w:rsid w:val="000372D5"/>
    <w:rsid w:val="00037D09"/>
    <w:rsid w:val="00043AD1"/>
    <w:rsid w:val="00051E2A"/>
    <w:rsid w:val="0005207F"/>
    <w:rsid w:val="00053B3F"/>
    <w:rsid w:val="000602F9"/>
    <w:rsid w:val="00063D1A"/>
    <w:rsid w:val="000664F4"/>
    <w:rsid w:val="0007307B"/>
    <w:rsid w:val="0007368B"/>
    <w:rsid w:val="00075F3B"/>
    <w:rsid w:val="000802C1"/>
    <w:rsid w:val="0008532B"/>
    <w:rsid w:val="00085EE0"/>
    <w:rsid w:val="000913B7"/>
    <w:rsid w:val="00091BDD"/>
    <w:rsid w:val="000949FF"/>
    <w:rsid w:val="00095307"/>
    <w:rsid w:val="00096086"/>
    <w:rsid w:val="000A03B4"/>
    <w:rsid w:val="000A1D12"/>
    <w:rsid w:val="000A2788"/>
    <w:rsid w:val="000B0604"/>
    <w:rsid w:val="000B1BDD"/>
    <w:rsid w:val="000B2924"/>
    <w:rsid w:val="000B54C4"/>
    <w:rsid w:val="000B5C51"/>
    <w:rsid w:val="000C46EE"/>
    <w:rsid w:val="000C757D"/>
    <w:rsid w:val="000D4E93"/>
    <w:rsid w:val="000D5BEA"/>
    <w:rsid w:val="000D5D29"/>
    <w:rsid w:val="000D5D3A"/>
    <w:rsid w:val="000D6D86"/>
    <w:rsid w:val="000E14AA"/>
    <w:rsid w:val="000E1B9F"/>
    <w:rsid w:val="000E302E"/>
    <w:rsid w:val="000E324A"/>
    <w:rsid w:val="000E4663"/>
    <w:rsid w:val="000E46C3"/>
    <w:rsid w:val="000E587F"/>
    <w:rsid w:val="000F3FFD"/>
    <w:rsid w:val="000F7D28"/>
    <w:rsid w:val="00100E83"/>
    <w:rsid w:val="00101A59"/>
    <w:rsid w:val="00103AE7"/>
    <w:rsid w:val="001049EE"/>
    <w:rsid w:val="00117463"/>
    <w:rsid w:val="00117D67"/>
    <w:rsid w:val="00120A7D"/>
    <w:rsid w:val="00120D63"/>
    <w:rsid w:val="00125B52"/>
    <w:rsid w:val="0013060F"/>
    <w:rsid w:val="00135FB3"/>
    <w:rsid w:val="00136C12"/>
    <w:rsid w:val="00141BF2"/>
    <w:rsid w:val="00141D16"/>
    <w:rsid w:val="00151971"/>
    <w:rsid w:val="00151C79"/>
    <w:rsid w:val="001537E7"/>
    <w:rsid w:val="00154416"/>
    <w:rsid w:val="00157E99"/>
    <w:rsid w:val="00161DAE"/>
    <w:rsid w:val="001653F8"/>
    <w:rsid w:val="00165AA7"/>
    <w:rsid w:val="00165E5D"/>
    <w:rsid w:val="00170833"/>
    <w:rsid w:val="00173029"/>
    <w:rsid w:val="00173093"/>
    <w:rsid w:val="00176E77"/>
    <w:rsid w:val="00182053"/>
    <w:rsid w:val="001854E1"/>
    <w:rsid w:val="00186125"/>
    <w:rsid w:val="00186924"/>
    <w:rsid w:val="001903EF"/>
    <w:rsid w:val="001922FE"/>
    <w:rsid w:val="001940F9"/>
    <w:rsid w:val="00195092"/>
    <w:rsid w:val="00195512"/>
    <w:rsid w:val="00197A52"/>
    <w:rsid w:val="001A0FEC"/>
    <w:rsid w:val="001A11B4"/>
    <w:rsid w:val="001A20A0"/>
    <w:rsid w:val="001A30AE"/>
    <w:rsid w:val="001A3916"/>
    <w:rsid w:val="001A415E"/>
    <w:rsid w:val="001A4DF9"/>
    <w:rsid w:val="001B1CC0"/>
    <w:rsid w:val="001B2423"/>
    <w:rsid w:val="001B2F55"/>
    <w:rsid w:val="001B3269"/>
    <w:rsid w:val="001B469E"/>
    <w:rsid w:val="001B79BD"/>
    <w:rsid w:val="001C1FF3"/>
    <w:rsid w:val="001C374E"/>
    <w:rsid w:val="001C3EA0"/>
    <w:rsid w:val="001C402C"/>
    <w:rsid w:val="001C5AF8"/>
    <w:rsid w:val="001C7BDF"/>
    <w:rsid w:val="001D4583"/>
    <w:rsid w:val="001D4B32"/>
    <w:rsid w:val="001D52B5"/>
    <w:rsid w:val="001D5931"/>
    <w:rsid w:val="001E043A"/>
    <w:rsid w:val="001E35A5"/>
    <w:rsid w:val="001E36DE"/>
    <w:rsid w:val="001E5271"/>
    <w:rsid w:val="001E6900"/>
    <w:rsid w:val="001E7B48"/>
    <w:rsid w:val="001F0D09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235D4"/>
    <w:rsid w:val="00223DBC"/>
    <w:rsid w:val="00224B2C"/>
    <w:rsid w:val="00225C0E"/>
    <w:rsid w:val="00232958"/>
    <w:rsid w:val="002365D2"/>
    <w:rsid w:val="00245440"/>
    <w:rsid w:val="00250A6D"/>
    <w:rsid w:val="00254A13"/>
    <w:rsid w:val="002555E9"/>
    <w:rsid w:val="00264964"/>
    <w:rsid w:val="0026527F"/>
    <w:rsid w:val="00276653"/>
    <w:rsid w:val="002820B8"/>
    <w:rsid w:val="00283AD5"/>
    <w:rsid w:val="0028445D"/>
    <w:rsid w:val="002936A3"/>
    <w:rsid w:val="00293F39"/>
    <w:rsid w:val="00295DFF"/>
    <w:rsid w:val="002A0852"/>
    <w:rsid w:val="002A0864"/>
    <w:rsid w:val="002A2D57"/>
    <w:rsid w:val="002A5496"/>
    <w:rsid w:val="002A65E7"/>
    <w:rsid w:val="002A7002"/>
    <w:rsid w:val="002B0102"/>
    <w:rsid w:val="002B2056"/>
    <w:rsid w:val="002B4951"/>
    <w:rsid w:val="002C00FB"/>
    <w:rsid w:val="002C2468"/>
    <w:rsid w:val="002C50F7"/>
    <w:rsid w:val="002C5C13"/>
    <w:rsid w:val="002C79D3"/>
    <w:rsid w:val="002C7C1F"/>
    <w:rsid w:val="002D1561"/>
    <w:rsid w:val="002D3393"/>
    <w:rsid w:val="002D3414"/>
    <w:rsid w:val="002D4D36"/>
    <w:rsid w:val="002D60F0"/>
    <w:rsid w:val="002D625F"/>
    <w:rsid w:val="002E16F1"/>
    <w:rsid w:val="002E20F8"/>
    <w:rsid w:val="002E29CE"/>
    <w:rsid w:val="002E4A39"/>
    <w:rsid w:val="002E5E90"/>
    <w:rsid w:val="002E66DC"/>
    <w:rsid w:val="002E6B17"/>
    <w:rsid w:val="002F059A"/>
    <w:rsid w:val="002F09E7"/>
    <w:rsid w:val="002F7E2A"/>
    <w:rsid w:val="0030250A"/>
    <w:rsid w:val="00303CA7"/>
    <w:rsid w:val="00303FFD"/>
    <w:rsid w:val="00304914"/>
    <w:rsid w:val="003052B0"/>
    <w:rsid w:val="00305AC3"/>
    <w:rsid w:val="0030631B"/>
    <w:rsid w:val="00312790"/>
    <w:rsid w:val="00313B10"/>
    <w:rsid w:val="003228C0"/>
    <w:rsid w:val="00325C36"/>
    <w:rsid w:val="00331310"/>
    <w:rsid w:val="0033152C"/>
    <w:rsid w:val="0033230B"/>
    <w:rsid w:val="0033328A"/>
    <w:rsid w:val="00333F78"/>
    <w:rsid w:val="0033419F"/>
    <w:rsid w:val="00335A7E"/>
    <w:rsid w:val="00336CBF"/>
    <w:rsid w:val="00337872"/>
    <w:rsid w:val="003378CC"/>
    <w:rsid w:val="00347BAE"/>
    <w:rsid w:val="0035129B"/>
    <w:rsid w:val="00353E98"/>
    <w:rsid w:val="0035580F"/>
    <w:rsid w:val="00356742"/>
    <w:rsid w:val="00357A2B"/>
    <w:rsid w:val="003607AE"/>
    <w:rsid w:val="00360B97"/>
    <w:rsid w:val="00365183"/>
    <w:rsid w:val="003745BD"/>
    <w:rsid w:val="00377AC6"/>
    <w:rsid w:val="00382522"/>
    <w:rsid w:val="003906CB"/>
    <w:rsid w:val="00392215"/>
    <w:rsid w:val="00394036"/>
    <w:rsid w:val="003A1200"/>
    <w:rsid w:val="003A14C6"/>
    <w:rsid w:val="003A3125"/>
    <w:rsid w:val="003A3551"/>
    <w:rsid w:val="003A5D22"/>
    <w:rsid w:val="003B0F95"/>
    <w:rsid w:val="003B1C2A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D6B48"/>
    <w:rsid w:val="003E54C8"/>
    <w:rsid w:val="003F1B92"/>
    <w:rsid w:val="003F26B1"/>
    <w:rsid w:val="003F2E42"/>
    <w:rsid w:val="003F45E3"/>
    <w:rsid w:val="003F6A25"/>
    <w:rsid w:val="003F78EE"/>
    <w:rsid w:val="004006F7"/>
    <w:rsid w:val="0040094E"/>
    <w:rsid w:val="00400EA6"/>
    <w:rsid w:val="00405242"/>
    <w:rsid w:val="00407274"/>
    <w:rsid w:val="00414C31"/>
    <w:rsid w:val="0041616F"/>
    <w:rsid w:val="004175CB"/>
    <w:rsid w:val="004211B1"/>
    <w:rsid w:val="00422C3B"/>
    <w:rsid w:val="004279E6"/>
    <w:rsid w:val="004308B2"/>
    <w:rsid w:val="00430CEE"/>
    <w:rsid w:val="00431E05"/>
    <w:rsid w:val="00432179"/>
    <w:rsid w:val="0043315F"/>
    <w:rsid w:val="00433608"/>
    <w:rsid w:val="004347EE"/>
    <w:rsid w:val="00440A0B"/>
    <w:rsid w:val="00441BAA"/>
    <w:rsid w:val="00442798"/>
    <w:rsid w:val="00444624"/>
    <w:rsid w:val="00444994"/>
    <w:rsid w:val="00446934"/>
    <w:rsid w:val="00446EDF"/>
    <w:rsid w:val="004535F2"/>
    <w:rsid w:val="0045492C"/>
    <w:rsid w:val="0045608C"/>
    <w:rsid w:val="004566AA"/>
    <w:rsid w:val="004566B0"/>
    <w:rsid w:val="0045736C"/>
    <w:rsid w:val="0046328F"/>
    <w:rsid w:val="004643A7"/>
    <w:rsid w:val="004643DC"/>
    <w:rsid w:val="004717CD"/>
    <w:rsid w:val="004869E1"/>
    <w:rsid w:val="004870F5"/>
    <w:rsid w:val="00490E52"/>
    <w:rsid w:val="00490F06"/>
    <w:rsid w:val="00491F52"/>
    <w:rsid w:val="004929B0"/>
    <w:rsid w:val="00492D7A"/>
    <w:rsid w:val="00494941"/>
    <w:rsid w:val="00494D34"/>
    <w:rsid w:val="004A21FC"/>
    <w:rsid w:val="004A2E7B"/>
    <w:rsid w:val="004A35BB"/>
    <w:rsid w:val="004A35E6"/>
    <w:rsid w:val="004A36EB"/>
    <w:rsid w:val="004A3ED5"/>
    <w:rsid w:val="004A4272"/>
    <w:rsid w:val="004A4CAD"/>
    <w:rsid w:val="004A52E8"/>
    <w:rsid w:val="004A53A2"/>
    <w:rsid w:val="004B2C88"/>
    <w:rsid w:val="004B7127"/>
    <w:rsid w:val="004B7299"/>
    <w:rsid w:val="004C0826"/>
    <w:rsid w:val="004C42B8"/>
    <w:rsid w:val="004C590C"/>
    <w:rsid w:val="004C6A63"/>
    <w:rsid w:val="004D061D"/>
    <w:rsid w:val="004D11CA"/>
    <w:rsid w:val="004D16E9"/>
    <w:rsid w:val="004D4A62"/>
    <w:rsid w:val="004F16C5"/>
    <w:rsid w:val="004F1DAF"/>
    <w:rsid w:val="004F2423"/>
    <w:rsid w:val="004F31D9"/>
    <w:rsid w:val="004F5BEB"/>
    <w:rsid w:val="00510275"/>
    <w:rsid w:val="005129B2"/>
    <w:rsid w:val="00517F83"/>
    <w:rsid w:val="0052305D"/>
    <w:rsid w:val="00523193"/>
    <w:rsid w:val="00526A24"/>
    <w:rsid w:val="0053089A"/>
    <w:rsid w:val="00540F33"/>
    <w:rsid w:val="0054122B"/>
    <w:rsid w:val="005428F3"/>
    <w:rsid w:val="005466D3"/>
    <w:rsid w:val="00555396"/>
    <w:rsid w:val="0055660C"/>
    <w:rsid w:val="00562605"/>
    <w:rsid w:val="00565FA4"/>
    <w:rsid w:val="0057148C"/>
    <w:rsid w:val="00571DA7"/>
    <w:rsid w:val="0057470C"/>
    <w:rsid w:val="00574D68"/>
    <w:rsid w:val="0057535B"/>
    <w:rsid w:val="00576E77"/>
    <w:rsid w:val="00577B91"/>
    <w:rsid w:val="00582684"/>
    <w:rsid w:val="005831E2"/>
    <w:rsid w:val="005847CE"/>
    <w:rsid w:val="005858CA"/>
    <w:rsid w:val="00585F8E"/>
    <w:rsid w:val="00586933"/>
    <w:rsid w:val="00591173"/>
    <w:rsid w:val="00593E78"/>
    <w:rsid w:val="0059507F"/>
    <w:rsid w:val="00597EFD"/>
    <w:rsid w:val="005A2E26"/>
    <w:rsid w:val="005A4B69"/>
    <w:rsid w:val="005A4CCB"/>
    <w:rsid w:val="005A6D54"/>
    <w:rsid w:val="005A7330"/>
    <w:rsid w:val="005B10CE"/>
    <w:rsid w:val="005B4A7C"/>
    <w:rsid w:val="005B73FF"/>
    <w:rsid w:val="005C0D40"/>
    <w:rsid w:val="005C1B86"/>
    <w:rsid w:val="005D2E86"/>
    <w:rsid w:val="005D486F"/>
    <w:rsid w:val="005D6790"/>
    <w:rsid w:val="005D72CA"/>
    <w:rsid w:val="005D7959"/>
    <w:rsid w:val="005E5134"/>
    <w:rsid w:val="005E713D"/>
    <w:rsid w:val="005E7E1D"/>
    <w:rsid w:val="005F1BA1"/>
    <w:rsid w:val="005F505A"/>
    <w:rsid w:val="00600150"/>
    <w:rsid w:val="0060075D"/>
    <w:rsid w:val="00602908"/>
    <w:rsid w:val="00602F0F"/>
    <w:rsid w:val="006045F9"/>
    <w:rsid w:val="00605C66"/>
    <w:rsid w:val="00606C86"/>
    <w:rsid w:val="006077CC"/>
    <w:rsid w:val="006103E0"/>
    <w:rsid w:val="006111CC"/>
    <w:rsid w:val="006115B1"/>
    <w:rsid w:val="00613CBB"/>
    <w:rsid w:val="0061417C"/>
    <w:rsid w:val="00616360"/>
    <w:rsid w:val="0062056C"/>
    <w:rsid w:val="006208C4"/>
    <w:rsid w:val="006216C3"/>
    <w:rsid w:val="00621FC1"/>
    <w:rsid w:val="00623BCF"/>
    <w:rsid w:val="00625625"/>
    <w:rsid w:val="00625E09"/>
    <w:rsid w:val="00626279"/>
    <w:rsid w:val="00626AAE"/>
    <w:rsid w:val="00627E2D"/>
    <w:rsid w:val="00627E66"/>
    <w:rsid w:val="00630D08"/>
    <w:rsid w:val="006312D7"/>
    <w:rsid w:val="006323DC"/>
    <w:rsid w:val="006327F7"/>
    <w:rsid w:val="00635024"/>
    <w:rsid w:val="00641B97"/>
    <w:rsid w:val="00642CE1"/>
    <w:rsid w:val="0064545F"/>
    <w:rsid w:val="00653012"/>
    <w:rsid w:val="00653B98"/>
    <w:rsid w:val="00654CE6"/>
    <w:rsid w:val="00656E86"/>
    <w:rsid w:val="006572CE"/>
    <w:rsid w:val="00664253"/>
    <w:rsid w:val="00674927"/>
    <w:rsid w:val="006806F2"/>
    <w:rsid w:val="00687E6A"/>
    <w:rsid w:val="00690733"/>
    <w:rsid w:val="00691560"/>
    <w:rsid w:val="00694237"/>
    <w:rsid w:val="00694735"/>
    <w:rsid w:val="006A295C"/>
    <w:rsid w:val="006A2C9E"/>
    <w:rsid w:val="006A4E36"/>
    <w:rsid w:val="006A537A"/>
    <w:rsid w:val="006A631E"/>
    <w:rsid w:val="006A6D07"/>
    <w:rsid w:val="006B16F0"/>
    <w:rsid w:val="006C081B"/>
    <w:rsid w:val="006C19A8"/>
    <w:rsid w:val="006C6028"/>
    <w:rsid w:val="006D0129"/>
    <w:rsid w:val="006D0503"/>
    <w:rsid w:val="006D0B5A"/>
    <w:rsid w:val="006D2490"/>
    <w:rsid w:val="006D51E3"/>
    <w:rsid w:val="006D5B27"/>
    <w:rsid w:val="006E62B2"/>
    <w:rsid w:val="006F035C"/>
    <w:rsid w:val="006F03D3"/>
    <w:rsid w:val="006F21B2"/>
    <w:rsid w:val="006F2946"/>
    <w:rsid w:val="006F41CD"/>
    <w:rsid w:val="006F77C2"/>
    <w:rsid w:val="0070119E"/>
    <w:rsid w:val="00702857"/>
    <w:rsid w:val="00702D00"/>
    <w:rsid w:val="00703D4C"/>
    <w:rsid w:val="0071142D"/>
    <w:rsid w:val="007139DE"/>
    <w:rsid w:val="0071747D"/>
    <w:rsid w:val="0072305A"/>
    <w:rsid w:val="00730536"/>
    <w:rsid w:val="00731C26"/>
    <w:rsid w:val="00733ACA"/>
    <w:rsid w:val="007410FB"/>
    <w:rsid w:val="0074138F"/>
    <w:rsid w:val="00746D73"/>
    <w:rsid w:val="00747D24"/>
    <w:rsid w:val="00751D56"/>
    <w:rsid w:val="00752B0E"/>
    <w:rsid w:val="00752C75"/>
    <w:rsid w:val="00754FFC"/>
    <w:rsid w:val="00760FC0"/>
    <w:rsid w:val="00762F0D"/>
    <w:rsid w:val="00764242"/>
    <w:rsid w:val="00770EEA"/>
    <w:rsid w:val="007747C0"/>
    <w:rsid w:val="00776D77"/>
    <w:rsid w:val="00777094"/>
    <w:rsid w:val="00783F65"/>
    <w:rsid w:val="007855EC"/>
    <w:rsid w:val="007869F1"/>
    <w:rsid w:val="00795038"/>
    <w:rsid w:val="007955C3"/>
    <w:rsid w:val="00795F54"/>
    <w:rsid w:val="00796F43"/>
    <w:rsid w:val="007A04AE"/>
    <w:rsid w:val="007B2EB7"/>
    <w:rsid w:val="007B48AF"/>
    <w:rsid w:val="007B6027"/>
    <w:rsid w:val="007B7B55"/>
    <w:rsid w:val="007C0F6A"/>
    <w:rsid w:val="007C20A6"/>
    <w:rsid w:val="007C2F2E"/>
    <w:rsid w:val="007C31FE"/>
    <w:rsid w:val="007C6BE4"/>
    <w:rsid w:val="007D0031"/>
    <w:rsid w:val="007D04F9"/>
    <w:rsid w:val="007D7514"/>
    <w:rsid w:val="007E1557"/>
    <w:rsid w:val="007E2451"/>
    <w:rsid w:val="007E54D5"/>
    <w:rsid w:val="007F3ADB"/>
    <w:rsid w:val="007F4401"/>
    <w:rsid w:val="007F50DD"/>
    <w:rsid w:val="007F5868"/>
    <w:rsid w:val="007F59EF"/>
    <w:rsid w:val="007F5B6C"/>
    <w:rsid w:val="007F6488"/>
    <w:rsid w:val="008064D0"/>
    <w:rsid w:val="00807459"/>
    <w:rsid w:val="00820662"/>
    <w:rsid w:val="008216C9"/>
    <w:rsid w:val="0082356C"/>
    <w:rsid w:val="008243FF"/>
    <w:rsid w:val="008334CC"/>
    <w:rsid w:val="00833DB0"/>
    <w:rsid w:val="00842962"/>
    <w:rsid w:val="008438B2"/>
    <w:rsid w:val="008510FE"/>
    <w:rsid w:val="0085599B"/>
    <w:rsid w:val="00856466"/>
    <w:rsid w:val="00856478"/>
    <w:rsid w:val="008572E9"/>
    <w:rsid w:val="00861D12"/>
    <w:rsid w:val="00864B34"/>
    <w:rsid w:val="00865BCE"/>
    <w:rsid w:val="00872EF9"/>
    <w:rsid w:val="0087633D"/>
    <w:rsid w:val="008776BE"/>
    <w:rsid w:val="00882101"/>
    <w:rsid w:val="0088486B"/>
    <w:rsid w:val="00891181"/>
    <w:rsid w:val="00893BF8"/>
    <w:rsid w:val="00893F9B"/>
    <w:rsid w:val="008A2FBC"/>
    <w:rsid w:val="008A4087"/>
    <w:rsid w:val="008A6FA8"/>
    <w:rsid w:val="008A7D1F"/>
    <w:rsid w:val="008B01DC"/>
    <w:rsid w:val="008B0E6C"/>
    <w:rsid w:val="008B0EB0"/>
    <w:rsid w:val="008B6822"/>
    <w:rsid w:val="008B6D24"/>
    <w:rsid w:val="008B7154"/>
    <w:rsid w:val="008C0EF4"/>
    <w:rsid w:val="008C2D59"/>
    <w:rsid w:val="008C7FB4"/>
    <w:rsid w:val="008D06C3"/>
    <w:rsid w:val="008D0F0C"/>
    <w:rsid w:val="008D12F7"/>
    <w:rsid w:val="008D3720"/>
    <w:rsid w:val="008D3FE9"/>
    <w:rsid w:val="008D4630"/>
    <w:rsid w:val="008E0094"/>
    <w:rsid w:val="008E19D0"/>
    <w:rsid w:val="008E294D"/>
    <w:rsid w:val="008E557F"/>
    <w:rsid w:val="008E689A"/>
    <w:rsid w:val="008F54E7"/>
    <w:rsid w:val="008F6BF8"/>
    <w:rsid w:val="0090644B"/>
    <w:rsid w:val="00906668"/>
    <w:rsid w:val="00912DD0"/>
    <w:rsid w:val="00913900"/>
    <w:rsid w:val="0091454C"/>
    <w:rsid w:val="00914C02"/>
    <w:rsid w:val="00915CCB"/>
    <w:rsid w:val="00921C6B"/>
    <w:rsid w:val="009226F4"/>
    <w:rsid w:val="00924955"/>
    <w:rsid w:val="00926AE0"/>
    <w:rsid w:val="00926D8D"/>
    <w:rsid w:val="009300CC"/>
    <w:rsid w:val="009317ED"/>
    <w:rsid w:val="00932016"/>
    <w:rsid w:val="00933AF2"/>
    <w:rsid w:val="00943079"/>
    <w:rsid w:val="00944549"/>
    <w:rsid w:val="009447F7"/>
    <w:rsid w:val="009460CD"/>
    <w:rsid w:val="00947168"/>
    <w:rsid w:val="0095017A"/>
    <w:rsid w:val="00951891"/>
    <w:rsid w:val="00954838"/>
    <w:rsid w:val="00955328"/>
    <w:rsid w:val="0095710A"/>
    <w:rsid w:val="00957D48"/>
    <w:rsid w:val="00961285"/>
    <w:rsid w:val="00964A28"/>
    <w:rsid w:val="00965575"/>
    <w:rsid w:val="00966771"/>
    <w:rsid w:val="00966DB9"/>
    <w:rsid w:val="009678A4"/>
    <w:rsid w:val="00970D73"/>
    <w:rsid w:val="00971EEF"/>
    <w:rsid w:val="009813BA"/>
    <w:rsid w:val="00983C5B"/>
    <w:rsid w:val="0098418F"/>
    <w:rsid w:val="009879EB"/>
    <w:rsid w:val="00991127"/>
    <w:rsid w:val="00991F0A"/>
    <w:rsid w:val="00993AC8"/>
    <w:rsid w:val="00994D79"/>
    <w:rsid w:val="009956E3"/>
    <w:rsid w:val="009A0C38"/>
    <w:rsid w:val="009A3DB1"/>
    <w:rsid w:val="009A3E9E"/>
    <w:rsid w:val="009A6166"/>
    <w:rsid w:val="009A6A3D"/>
    <w:rsid w:val="009A70D9"/>
    <w:rsid w:val="009B0293"/>
    <w:rsid w:val="009B0C66"/>
    <w:rsid w:val="009B1FA7"/>
    <w:rsid w:val="009B25D3"/>
    <w:rsid w:val="009B634A"/>
    <w:rsid w:val="009B74A3"/>
    <w:rsid w:val="009C020F"/>
    <w:rsid w:val="009D1AF4"/>
    <w:rsid w:val="009D322A"/>
    <w:rsid w:val="009E06BE"/>
    <w:rsid w:val="009E38A4"/>
    <w:rsid w:val="009E5324"/>
    <w:rsid w:val="009F0371"/>
    <w:rsid w:val="009F3AD1"/>
    <w:rsid w:val="009F4AAA"/>
    <w:rsid w:val="009F58A6"/>
    <w:rsid w:val="009F714F"/>
    <w:rsid w:val="00A003C7"/>
    <w:rsid w:val="00A016B8"/>
    <w:rsid w:val="00A0639D"/>
    <w:rsid w:val="00A13C0E"/>
    <w:rsid w:val="00A144BB"/>
    <w:rsid w:val="00A150D7"/>
    <w:rsid w:val="00A16C89"/>
    <w:rsid w:val="00A23891"/>
    <w:rsid w:val="00A23BD5"/>
    <w:rsid w:val="00A31590"/>
    <w:rsid w:val="00A32382"/>
    <w:rsid w:val="00A34E48"/>
    <w:rsid w:val="00A357FA"/>
    <w:rsid w:val="00A36598"/>
    <w:rsid w:val="00A42A25"/>
    <w:rsid w:val="00A42D26"/>
    <w:rsid w:val="00A44069"/>
    <w:rsid w:val="00A45151"/>
    <w:rsid w:val="00A46BD7"/>
    <w:rsid w:val="00A5200C"/>
    <w:rsid w:val="00A52390"/>
    <w:rsid w:val="00A55952"/>
    <w:rsid w:val="00A60D92"/>
    <w:rsid w:val="00A623AF"/>
    <w:rsid w:val="00A62CD1"/>
    <w:rsid w:val="00A638BE"/>
    <w:rsid w:val="00A72B49"/>
    <w:rsid w:val="00A72C73"/>
    <w:rsid w:val="00A737B9"/>
    <w:rsid w:val="00A755BC"/>
    <w:rsid w:val="00A77040"/>
    <w:rsid w:val="00A777A4"/>
    <w:rsid w:val="00A816B3"/>
    <w:rsid w:val="00A8433A"/>
    <w:rsid w:val="00A860F4"/>
    <w:rsid w:val="00A87BF7"/>
    <w:rsid w:val="00A904F1"/>
    <w:rsid w:val="00A90FD3"/>
    <w:rsid w:val="00A96843"/>
    <w:rsid w:val="00A97AE3"/>
    <w:rsid w:val="00AA1F7B"/>
    <w:rsid w:val="00AA7304"/>
    <w:rsid w:val="00AB0C23"/>
    <w:rsid w:val="00AB1E10"/>
    <w:rsid w:val="00AB29D9"/>
    <w:rsid w:val="00AB2AED"/>
    <w:rsid w:val="00AC05B2"/>
    <w:rsid w:val="00AC177F"/>
    <w:rsid w:val="00AC1983"/>
    <w:rsid w:val="00AC38D8"/>
    <w:rsid w:val="00AD3823"/>
    <w:rsid w:val="00AD4589"/>
    <w:rsid w:val="00AE62AE"/>
    <w:rsid w:val="00AF1835"/>
    <w:rsid w:val="00AF2C3F"/>
    <w:rsid w:val="00AF2F28"/>
    <w:rsid w:val="00AF48AA"/>
    <w:rsid w:val="00AF49AD"/>
    <w:rsid w:val="00B033AF"/>
    <w:rsid w:val="00B0489F"/>
    <w:rsid w:val="00B06108"/>
    <w:rsid w:val="00B1313A"/>
    <w:rsid w:val="00B240F5"/>
    <w:rsid w:val="00B26536"/>
    <w:rsid w:val="00B3418D"/>
    <w:rsid w:val="00B37453"/>
    <w:rsid w:val="00B40329"/>
    <w:rsid w:val="00B40AB9"/>
    <w:rsid w:val="00B428F6"/>
    <w:rsid w:val="00B43174"/>
    <w:rsid w:val="00B43C42"/>
    <w:rsid w:val="00B45D62"/>
    <w:rsid w:val="00B477F3"/>
    <w:rsid w:val="00B508C6"/>
    <w:rsid w:val="00B51FC9"/>
    <w:rsid w:val="00B5534A"/>
    <w:rsid w:val="00B56120"/>
    <w:rsid w:val="00B57416"/>
    <w:rsid w:val="00B60567"/>
    <w:rsid w:val="00B60C21"/>
    <w:rsid w:val="00B62912"/>
    <w:rsid w:val="00B64B87"/>
    <w:rsid w:val="00B65604"/>
    <w:rsid w:val="00B668E9"/>
    <w:rsid w:val="00B66D39"/>
    <w:rsid w:val="00B703AC"/>
    <w:rsid w:val="00B70BE7"/>
    <w:rsid w:val="00B719EF"/>
    <w:rsid w:val="00B72484"/>
    <w:rsid w:val="00B74BED"/>
    <w:rsid w:val="00B777DC"/>
    <w:rsid w:val="00B8327C"/>
    <w:rsid w:val="00B86D37"/>
    <w:rsid w:val="00B91384"/>
    <w:rsid w:val="00B933BD"/>
    <w:rsid w:val="00B955FF"/>
    <w:rsid w:val="00B97B9F"/>
    <w:rsid w:val="00B97BF9"/>
    <w:rsid w:val="00BA3072"/>
    <w:rsid w:val="00BA4D30"/>
    <w:rsid w:val="00BA5950"/>
    <w:rsid w:val="00BB06FD"/>
    <w:rsid w:val="00BB0DA4"/>
    <w:rsid w:val="00BB28FB"/>
    <w:rsid w:val="00BB3276"/>
    <w:rsid w:val="00BB4DBA"/>
    <w:rsid w:val="00BB7DD8"/>
    <w:rsid w:val="00BC0D67"/>
    <w:rsid w:val="00BC372A"/>
    <w:rsid w:val="00BC3D94"/>
    <w:rsid w:val="00BC5857"/>
    <w:rsid w:val="00BD1DB1"/>
    <w:rsid w:val="00BD1FEC"/>
    <w:rsid w:val="00BD2D5A"/>
    <w:rsid w:val="00BD2DA7"/>
    <w:rsid w:val="00BD4107"/>
    <w:rsid w:val="00BD4A97"/>
    <w:rsid w:val="00BD5FCC"/>
    <w:rsid w:val="00BE50EB"/>
    <w:rsid w:val="00BF428D"/>
    <w:rsid w:val="00BF6948"/>
    <w:rsid w:val="00C014FB"/>
    <w:rsid w:val="00C03262"/>
    <w:rsid w:val="00C0524A"/>
    <w:rsid w:val="00C061CC"/>
    <w:rsid w:val="00C070AF"/>
    <w:rsid w:val="00C07ED4"/>
    <w:rsid w:val="00C10EAD"/>
    <w:rsid w:val="00C119D5"/>
    <w:rsid w:val="00C13CE2"/>
    <w:rsid w:val="00C2196E"/>
    <w:rsid w:val="00C244A7"/>
    <w:rsid w:val="00C246B8"/>
    <w:rsid w:val="00C246D8"/>
    <w:rsid w:val="00C26DFC"/>
    <w:rsid w:val="00C31080"/>
    <w:rsid w:val="00C37E90"/>
    <w:rsid w:val="00C41F72"/>
    <w:rsid w:val="00C42398"/>
    <w:rsid w:val="00C45C39"/>
    <w:rsid w:val="00C4629D"/>
    <w:rsid w:val="00C47871"/>
    <w:rsid w:val="00C5024C"/>
    <w:rsid w:val="00C518BD"/>
    <w:rsid w:val="00C51AF7"/>
    <w:rsid w:val="00C526E5"/>
    <w:rsid w:val="00C52EC8"/>
    <w:rsid w:val="00C53B22"/>
    <w:rsid w:val="00C54748"/>
    <w:rsid w:val="00C55A36"/>
    <w:rsid w:val="00C5662F"/>
    <w:rsid w:val="00C607C2"/>
    <w:rsid w:val="00C6263D"/>
    <w:rsid w:val="00C63B78"/>
    <w:rsid w:val="00C70A9E"/>
    <w:rsid w:val="00C73FBE"/>
    <w:rsid w:val="00C76FEF"/>
    <w:rsid w:val="00C826FD"/>
    <w:rsid w:val="00C847B0"/>
    <w:rsid w:val="00C86623"/>
    <w:rsid w:val="00C927D5"/>
    <w:rsid w:val="00C92AF0"/>
    <w:rsid w:val="00C92DBD"/>
    <w:rsid w:val="00C93456"/>
    <w:rsid w:val="00C93983"/>
    <w:rsid w:val="00C958FD"/>
    <w:rsid w:val="00C967FD"/>
    <w:rsid w:val="00C97D90"/>
    <w:rsid w:val="00CA15FE"/>
    <w:rsid w:val="00CA2615"/>
    <w:rsid w:val="00CA27A4"/>
    <w:rsid w:val="00CA409D"/>
    <w:rsid w:val="00CB20D4"/>
    <w:rsid w:val="00CC0B73"/>
    <w:rsid w:val="00CC0E91"/>
    <w:rsid w:val="00CC1FEA"/>
    <w:rsid w:val="00CD101A"/>
    <w:rsid w:val="00CD1B0B"/>
    <w:rsid w:val="00CD2A4B"/>
    <w:rsid w:val="00CD3632"/>
    <w:rsid w:val="00CD6EAE"/>
    <w:rsid w:val="00CD778E"/>
    <w:rsid w:val="00CD7BE9"/>
    <w:rsid w:val="00CE2A02"/>
    <w:rsid w:val="00CE74CB"/>
    <w:rsid w:val="00CF108C"/>
    <w:rsid w:val="00CF1634"/>
    <w:rsid w:val="00CF26B7"/>
    <w:rsid w:val="00CF2F64"/>
    <w:rsid w:val="00CF3DDD"/>
    <w:rsid w:val="00CF4E82"/>
    <w:rsid w:val="00CF68EF"/>
    <w:rsid w:val="00D00072"/>
    <w:rsid w:val="00D0180E"/>
    <w:rsid w:val="00D0306A"/>
    <w:rsid w:val="00D03364"/>
    <w:rsid w:val="00D03A0E"/>
    <w:rsid w:val="00D072AD"/>
    <w:rsid w:val="00D12A66"/>
    <w:rsid w:val="00D232B2"/>
    <w:rsid w:val="00D23F72"/>
    <w:rsid w:val="00D24B19"/>
    <w:rsid w:val="00D26AE0"/>
    <w:rsid w:val="00D34A9C"/>
    <w:rsid w:val="00D35964"/>
    <w:rsid w:val="00D3749E"/>
    <w:rsid w:val="00D43F2C"/>
    <w:rsid w:val="00D4708A"/>
    <w:rsid w:val="00D52003"/>
    <w:rsid w:val="00D52F2B"/>
    <w:rsid w:val="00D54D6A"/>
    <w:rsid w:val="00D55553"/>
    <w:rsid w:val="00D55C4B"/>
    <w:rsid w:val="00D612C9"/>
    <w:rsid w:val="00D646BF"/>
    <w:rsid w:val="00D64A46"/>
    <w:rsid w:val="00D665FE"/>
    <w:rsid w:val="00D66FF2"/>
    <w:rsid w:val="00D70283"/>
    <w:rsid w:val="00D7318C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448C"/>
    <w:rsid w:val="00DA519A"/>
    <w:rsid w:val="00DA5AD5"/>
    <w:rsid w:val="00DB7699"/>
    <w:rsid w:val="00DC0183"/>
    <w:rsid w:val="00DC1517"/>
    <w:rsid w:val="00DC2CAC"/>
    <w:rsid w:val="00DC3695"/>
    <w:rsid w:val="00DC6C9A"/>
    <w:rsid w:val="00DD2F1B"/>
    <w:rsid w:val="00DD6780"/>
    <w:rsid w:val="00DD7E1C"/>
    <w:rsid w:val="00DE2243"/>
    <w:rsid w:val="00DE499E"/>
    <w:rsid w:val="00DE5DF3"/>
    <w:rsid w:val="00DE7735"/>
    <w:rsid w:val="00DF2713"/>
    <w:rsid w:val="00DF5D02"/>
    <w:rsid w:val="00DF7099"/>
    <w:rsid w:val="00E025C2"/>
    <w:rsid w:val="00E07483"/>
    <w:rsid w:val="00E12331"/>
    <w:rsid w:val="00E129E1"/>
    <w:rsid w:val="00E21A4E"/>
    <w:rsid w:val="00E22FDA"/>
    <w:rsid w:val="00E23359"/>
    <w:rsid w:val="00E2347E"/>
    <w:rsid w:val="00E243CE"/>
    <w:rsid w:val="00E26889"/>
    <w:rsid w:val="00E278C4"/>
    <w:rsid w:val="00E35FD2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31AD"/>
    <w:rsid w:val="00E5721E"/>
    <w:rsid w:val="00E57488"/>
    <w:rsid w:val="00E60BE6"/>
    <w:rsid w:val="00E63E7C"/>
    <w:rsid w:val="00E77A99"/>
    <w:rsid w:val="00E842F3"/>
    <w:rsid w:val="00E845ED"/>
    <w:rsid w:val="00E84793"/>
    <w:rsid w:val="00E8530E"/>
    <w:rsid w:val="00E9091D"/>
    <w:rsid w:val="00E927A1"/>
    <w:rsid w:val="00E93572"/>
    <w:rsid w:val="00E94AD2"/>
    <w:rsid w:val="00E94BAB"/>
    <w:rsid w:val="00E95853"/>
    <w:rsid w:val="00EA0D4E"/>
    <w:rsid w:val="00EA66DD"/>
    <w:rsid w:val="00EB3AF2"/>
    <w:rsid w:val="00EB4772"/>
    <w:rsid w:val="00EB55E3"/>
    <w:rsid w:val="00EB7090"/>
    <w:rsid w:val="00EC0C6F"/>
    <w:rsid w:val="00EC1B97"/>
    <w:rsid w:val="00ED02B7"/>
    <w:rsid w:val="00ED1BD3"/>
    <w:rsid w:val="00ED3581"/>
    <w:rsid w:val="00ED5181"/>
    <w:rsid w:val="00ED5A35"/>
    <w:rsid w:val="00ED5E35"/>
    <w:rsid w:val="00ED6789"/>
    <w:rsid w:val="00ED67F2"/>
    <w:rsid w:val="00ED6E8C"/>
    <w:rsid w:val="00ED6F8A"/>
    <w:rsid w:val="00EE76CA"/>
    <w:rsid w:val="00EF580A"/>
    <w:rsid w:val="00F005C5"/>
    <w:rsid w:val="00F0065E"/>
    <w:rsid w:val="00F01275"/>
    <w:rsid w:val="00F0372B"/>
    <w:rsid w:val="00F04C37"/>
    <w:rsid w:val="00F127D6"/>
    <w:rsid w:val="00F15014"/>
    <w:rsid w:val="00F1645E"/>
    <w:rsid w:val="00F30EDC"/>
    <w:rsid w:val="00F326B1"/>
    <w:rsid w:val="00F341B7"/>
    <w:rsid w:val="00F44EF7"/>
    <w:rsid w:val="00F4650A"/>
    <w:rsid w:val="00F516F3"/>
    <w:rsid w:val="00F52309"/>
    <w:rsid w:val="00F5295C"/>
    <w:rsid w:val="00F56004"/>
    <w:rsid w:val="00F56FC4"/>
    <w:rsid w:val="00F57C2A"/>
    <w:rsid w:val="00F71CCC"/>
    <w:rsid w:val="00F7307E"/>
    <w:rsid w:val="00F74B84"/>
    <w:rsid w:val="00F76E81"/>
    <w:rsid w:val="00F777DA"/>
    <w:rsid w:val="00F80072"/>
    <w:rsid w:val="00F845C1"/>
    <w:rsid w:val="00F92E34"/>
    <w:rsid w:val="00F93FC8"/>
    <w:rsid w:val="00F94224"/>
    <w:rsid w:val="00F945FA"/>
    <w:rsid w:val="00FA6557"/>
    <w:rsid w:val="00FA65AD"/>
    <w:rsid w:val="00FA6864"/>
    <w:rsid w:val="00FB1644"/>
    <w:rsid w:val="00FB38CA"/>
    <w:rsid w:val="00FB4B3D"/>
    <w:rsid w:val="00FB5D0B"/>
    <w:rsid w:val="00FB68D1"/>
    <w:rsid w:val="00FB7181"/>
    <w:rsid w:val="00FB7C48"/>
    <w:rsid w:val="00FC222E"/>
    <w:rsid w:val="00FC3868"/>
    <w:rsid w:val="00FC704A"/>
    <w:rsid w:val="00FD118B"/>
    <w:rsid w:val="00FD196D"/>
    <w:rsid w:val="00FD75DF"/>
    <w:rsid w:val="00FE1A49"/>
    <w:rsid w:val="00FE294A"/>
    <w:rsid w:val="00FE2F22"/>
    <w:rsid w:val="00FF23E1"/>
    <w:rsid w:val="00FF6416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CH" sz="1200"/>
              <a:t>Holzenergie: Verbrauch, Energieproduktion, Feinstaub 1990-2020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Genutzte Holzmenge in Prozent</c:v>
                </c:pt>
              </c:strCache>
            </c:strRef>
          </c:tx>
          <c:spPr>
            <a:ln w="571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Tabelle1!$A$2:$A$5</c:f>
              <c:numCache>
                <c:formatCode>General</c:formatCode>
                <c:ptCount val="4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2020</c:v>
                </c:pt>
              </c:numCache>
            </c:num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135.55000000000001</c:v>
                </c:pt>
                <c:pt idx="3">
                  <c:v>173.75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54-4101-8156-FF2CE52B8EA6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Produzierte Energie in Prozent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Tabelle1!$A$2:$A$5</c:f>
              <c:numCache>
                <c:formatCode>General</c:formatCode>
                <c:ptCount val="4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2020</c:v>
                </c:pt>
              </c:numCache>
            </c:numRef>
          </c:cat>
          <c:val>
            <c:numRef>
              <c:f>Tabelle1!$C$2:$C$5</c:f>
              <c:numCache>
                <c:formatCode>General</c:formatCode>
                <c:ptCount val="4"/>
                <c:pt idx="0">
                  <c:v>100</c:v>
                </c:pt>
                <c:pt idx="1">
                  <c:v>103</c:v>
                </c:pt>
                <c:pt idx="2">
                  <c:v>138.5</c:v>
                </c:pt>
                <c:pt idx="3">
                  <c:v>176.7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54-4101-8156-FF2CE52B8EA6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Feinstaub in Prozent</c:v>
                </c:pt>
              </c:strCache>
            </c:strRef>
          </c:tx>
          <c:spPr>
            <a:ln w="571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Tabelle1!$A$2:$A$5</c:f>
              <c:numCache>
                <c:formatCode>General</c:formatCode>
                <c:ptCount val="4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2020</c:v>
                </c:pt>
              </c:numCache>
            </c:numRef>
          </c:cat>
          <c:val>
            <c:numRef>
              <c:f>Tabelle1!$D$2:$D$5</c:f>
              <c:numCache>
                <c:formatCode>General</c:formatCode>
                <c:ptCount val="4"/>
                <c:pt idx="0">
                  <c:v>100</c:v>
                </c:pt>
                <c:pt idx="1">
                  <c:v>77.61</c:v>
                </c:pt>
                <c:pt idx="2">
                  <c:v>56.72</c:v>
                </c:pt>
                <c:pt idx="3">
                  <c:v>29.85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854-4101-8156-FF2CE52B8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297151"/>
        <c:axId val="322965039"/>
      </c:lineChart>
      <c:catAx>
        <c:axId val="16829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22965039"/>
        <c:crosses val="autoZero"/>
        <c:auto val="1"/>
        <c:lblAlgn val="ctr"/>
        <c:lblOffset val="100"/>
        <c:noMultiLvlLbl val="0"/>
      </c:catAx>
      <c:valAx>
        <c:axId val="322965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68297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47731-F8FF-48E4-89CB-F19DA945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Christoph Rutschmann</cp:lastModifiedBy>
  <cp:revision>59</cp:revision>
  <dcterms:created xsi:type="dcterms:W3CDTF">2023-02-02T14:39:00Z</dcterms:created>
  <dcterms:modified xsi:type="dcterms:W3CDTF">2024-01-29T11:56:00Z</dcterms:modified>
</cp:coreProperties>
</file>